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49E88B7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w:t>
      </w:r>
      <w:r w:rsidR="00080530">
        <w:t>5</w:t>
      </w:r>
      <w:r w:rsidRPr="00CE0424">
        <w:tab/>
      </w:r>
      <w:r w:rsidR="00091557" w:rsidRPr="00CE0424">
        <w:rPr>
          <w:sz w:val="32"/>
          <w:szCs w:val="32"/>
        </w:rPr>
        <w:t>R</w:t>
      </w:r>
      <w:r w:rsidR="008F1C4E">
        <w:rPr>
          <w:sz w:val="32"/>
          <w:szCs w:val="32"/>
        </w:rPr>
        <w:t>1</w:t>
      </w:r>
      <w:r w:rsidR="00091557" w:rsidRPr="00CE0424">
        <w:rPr>
          <w:sz w:val="32"/>
          <w:szCs w:val="32"/>
        </w:rPr>
        <w:t>-</w:t>
      </w:r>
      <w:r w:rsidR="00F05E5F" w:rsidRPr="00F05E5F">
        <w:rPr>
          <w:sz w:val="32"/>
          <w:szCs w:val="32"/>
        </w:rPr>
        <w:t>1813259</w:t>
      </w:r>
    </w:p>
    <w:p w14:paraId="103CDC79" w14:textId="0A0008CA" w:rsidR="00E90E49" w:rsidRPr="00CE0424" w:rsidRDefault="00080530" w:rsidP="00311702">
      <w:pPr>
        <w:pStyle w:val="3GPPHeader"/>
      </w:pPr>
      <w:r w:rsidRPr="00080530">
        <w:t>Spokane, USA, November 12th – 16th, 2018</w:t>
      </w:r>
    </w:p>
    <w:p w14:paraId="09E2CDF3" w14:textId="77777777" w:rsidR="00E90E49" w:rsidRPr="00CE0424" w:rsidRDefault="00E90E49" w:rsidP="00357380">
      <w:pPr>
        <w:pStyle w:val="3GPPHeader"/>
      </w:pPr>
    </w:p>
    <w:p w14:paraId="5D039B66" w14:textId="6CAAC8DA" w:rsidR="00E90E49" w:rsidRPr="005D3A27" w:rsidRDefault="00E90E49" w:rsidP="00311702">
      <w:pPr>
        <w:pStyle w:val="3GPPHeader"/>
        <w:rPr>
          <w:sz w:val="22"/>
        </w:rPr>
      </w:pPr>
      <w:r w:rsidRPr="005D3A27">
        <w:rPr>
          <w:sz w:val="22"/>
        </w:rPr>
        <w:t>Agenda Item:</w:t>
      </w:r>
      <w:r w:rsidRPr="005D3A27">
        <w:rPr>
          <w:sz w:val="22"/>
        </w:rPr>
        <w:tab/>
      </w:r>
      <w:r w:rsidR="005D3A27" w:rsidRPr="005D3A27">
        <w:rPr>
          <w:sz w:val="22"/>
        </w:rPr>
        <w:t>7</w:t>
      </w:r>
      <w:r w:rsidR="005D3A27">
        <w:rPr>
          <w:sz w:val="22"/>
        </w:rPr>
        <w:t>.</w:t>
      </w:r>
      <w:r w:rsidR="00EA6B3B">
        <w:rPr>
          <w:sz w:val="22"/>
        </w:rPr>
        <w:t>2.1</w:t>
      </w:r>
      <w:r w:rsidR="005D3A27">
        <w:rPr>
          <w:sz w:val="22"/>
        </w:rPr>
        <w:t>.5</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bookmarkStart w:id="0" w:name="_GoBack"/>
      <w:bookmarkEnd w:id="0"/>
    </w:p>
    <w:p w14:paraId="77FF0CA1" w14:textId="4C8365FB" w:rsidR="00E90E49" w:rsidRPr="00CE0424" w:rsidRDefault="003D3C45" w:rsidP="00311702">
      <w:pPr>
        <w:pStyle w:val="3GPPHeader"/>
        <w:rPr>
          <w:sz w:val="22"/>
        </w:rPr>
      </w:pPr>
      <w:r>
        <w:rPr>
          <w:sz w:val="22"/>
        </w:rPr>
        <w:t>Title:</w:t>
      </w:r>
      <w:r w:rsidR="00E90E49" w:rsidRPr="00CE0424">
        <w:rPr>
          <w:sz w:val="22"/>
        </w:rPr>
        <w:tab/>
      </w:r>
      <w:bookmarkStart w:id="1" w:name="OLE_LINK1"/>
      <w:r w:rsidR="000053F0">
        <w:rPr>
          <w:sz w:val="22"/>
        </w:rPr>
        <w:t>Power control inaccuracy modeling for NoMA</w:t>
      </w:r>
      <w:bookmarkEnd w:id="1"/>
    </w:p>
    <w:p w14:paraId="0E946205" w14:textId="495A81C1" w:rsidR="00E90E49" w:rsidRPr="00CE0424" w:rsidRDefault="00E90E49" w:rsidP="00D546FF">
      <w:pPr>
        <w:pStyle w:val="3GPPHeader"/>
        <w:rPr>
          <w:sz w:val="22"/>
        </w:rPr>
      </w:pPr>
      <w:r w:rsidRPr="00CE0424">
        <w:rPr>
          <w:sz w:val="22"/>
        </w:rPr>
        <w:t>Document for:</w:t>
      </w:r>
      <w:r w:rsidRPr="00CE0424">
        <w:rPr>
          <w:sz w:val="22"/>
        </w:rPr>
        <w:tab/>
      </w:r>
      <w:r w:rsidRPr="005D3A27">
        <w:rPr>
          <w:sz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37A35C43" w:rsidR="00477768" w:rsidRDefault="005D3A27" w:rsidP="00CE0424">
      <w:pPr>
        <w:pStyle w:val="BodyText"/>
        <w:rPr>
          <w:rFonts w:cs="Arial"/>
        </w:rPr>
      </w:pPr>
      <w:r w:rsidRPr="009C218E">
        <w:rPr>
          <w:rFonts w:cs="Arial"/>
        </w:rPr>
        <w:t xml:space="preserve">In this contribution, we discuss </w:t>
      </w:r>
      <w:r w:rsidR="000053F0">
        <w:rPr>
          <w:rFonts w:cs="Arial"/>
        </w:rPr>
        <w:t>how power control inaccuracy can be modeled for NoMA</w:t>
      </w:r>
      <w:r>
        <w:rPr>
          <w:rFonts w:cs="Arial"/>
        </w:rPr>
        <w:t>.</w:t>
      </w:r>
      <w:r w:rsidR="00850D1C">
        <w:rPr>
          <w:rFonts w:cs="Arial"/>
        </w:rPr>
        <w:t xml:space="preserve">  We focus on the impact of power control error, addressing how it relates to</w:t>
      </w:r>
      <w:r w:rsidR="00FD4CBC">
        <w:rPr>
          <w:rFonts w:cs="Arial"/>
        </w:rPr>
        <w:t>,</w:t>
      </w:r>
      <w:r w:rsidR="00850D1C">
        <w:rPr>
          <w:rFonts w:cs="Arial"/>
        </w:rPr>
        <w:t xml:space="preserve"> and combines with</w:t>
      </w:r>
      <w:r w:rsidR="00FD4CBC">
        <w:rPr>
          <w:rFonts w:cs="Arial"/>
        </w:rPr>
        <w:t>,</w:t>
      </w:r>
      <w:r w:rsidR="00850D1C">
        <w:rPr>
          <w:rFonts w:cs="Arial"/>
        </w:rPr>
        <w:t xml:space="preserve"> the near-far effect.</w:t>
      </w:r>
    </w:p>
    <w:p w14:paraId="585B84B9" w14:textId="17F88304" w:rsidR="00DB5E6C" w:rsidRPr="00CE0424" w:rsidRDefault="00DB5E6C" w:rsidP="00CE0424">
      <w:pPr>
        <w:pStyle w:val="BodyText"/>
      </w:pPr>
      <w:r>
        <w:t xml:space="preserve">This document is a revision of </w:t>
      </w:r>
      <w:r w:rsidRPr="00717A3E">
        <w:t>R1-</w:t>
      </w:r>
      <w:r w:rsidR="00080530" w:rsidRPr="00717A3E">
        <w:t>1811180</w:t>
      </w:r>
      <w:r>
        <w:t>.</w:t>
      </w:r>
    </w:p>
    <w:p w14:paraId="17FFE2C9" w14:textId="77777777" w:rsidR="004000E8" w:rsidRPr="00CE0424" w:rsidRDefault="00230D18" w:rsidP="00CE0424">
      <w:pPr>
        <w:pStyle w:val="Heading1"/>
      </w:pPr>
      <w:bookmarkStart w:id="2" w:name="_Ref178064866"/>
      <w:r>
        <w:t>2</w:t>
      </w:r>
      <w:r>
        <w:tab/>
      </w:r>
      <w:r w:rsidR="004000E8" w:rsidRPr="00CE0424">
        <w:t>Discussion</w:t>
      </w:r>
      <w:bookmarkEnd w:id="2"/>
    </w:p>
    <w:p w14:paraId="4EAC0153" w14:textId="5152AC1A" w:rsidR="00F63950" w:rsidRDefault="00230D18" w:rsidP="00F63950">
      <w:pPr>
        <w:pStyle w:val="Heading2"/>
      </w:pPr>
      <w:r>
        <w:t>2.1</w:t>
      </w:r>
      <w:r>
        <w:tab/>
      </w:r>
      <w:r w:rsidR="005D3A27">
        <w:t>Power Control Error</w:t>
      </w:r>
      <w:r w:rsidR="00FD4CBC">
        <w:t xml:space="preserve"> and Near-Far Effects</w:t>
      </w:r>
    </w:p>
    <w:p w14:paraId="5837949F" w14:textId="7D2890C4" w:rsidR="005D3A27" w:rsidRPr="00173B83" w:rsidRDefault="005D3A27" w:rsidP="005D3A27">
      <w:pPr>
        <w:pStyle w:val="BodyText"/>
        <w:rPr>
          <w:rFonts w:cs="Arial"/>
        </w:rPr>
      </w:pPr>
      <w:r w:rsidRPr="00173B83">
        <w:rPr>
          <w:rFonts w:cs="Arial"/>
        </w:rPr>
        <w:t xml:space="preserve">The setting of the UE transmit power for the Physical uplink shared channel is defined by </w:t>
      </w:r>
      <w:r>
        <w:rPr>
          <w:rFonts w:cs="Arial"/>
        </w:rPr>
        <w:t>[1]</w:t>
      </w:r>
    </w:p>
    <w:p w14:paraId="674D88E7" w14:textId="77777777" w:rsidR="005D3A27" w:rsidRDefault="005D3A27" w:rsidP="005D3A27">
      <w:pPr>
        <w:pStyle w:val="BodyText"/>
      </w:pPr>
      <w:r w:rsidRPr="00B916EC">
        <w:rPr>
          <w:position w:val="-32"/>
        </w:rPr>
        <w:object w:dxaOrig="9360" w:dyaOrig="740" w14:anchorId="76E9A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6.5pt" o:ole="">
            <v:imagedata r:id="rId8" o:title=""/>
          </v:shape>
          <o:OLEObject Type="Embed" ProgID="Equation.3" ShapeID="_x0000_i1025" DrawAspect="Content" ObjectID="_1602736478" r:id="rId9"/>
        </w:object>
      </w:r>
    </w:p>
    <w:p w14:paraId="2489EA66" w14:textId="77777777" w:rsidR="005D3A27" w:rsidRPr="00B95FBB" w:rsidRDefault="005D3A27" w:rsidP="005D3A27">
      <w:pPr>
        <w:pStyle w:val="BodyText"/>
        <w:rPr>
          <w:rFonts w:asciiTheme="minorBidi" w:hAnsiTheme="minorBidi"/>
        </w:rPr>
      </w:pPr>
      <w:r w:rsidRPr="00B95FBB">
        <w:rPr>
          <w:rFonts w:asciiTheme="minorBidi" w:hAnsiTheme="minorBidi"/>
        </w:rPr>
        <w:t xml:space="preserve">The power step (ΔP) is defined as the difference in the calculated setting of the UE Transmit power between the target (current transmission) and the reference (previous transmission) as calculated according to the above equation.  </w:t>
      </w:r>
    </w:p>
    <w:p w14:paraId="371432AB" w14:textId="324AD561" w:rsidR="005D3A27" w:rsidRPr="00AF10BE" w:rsidRDefault="005D3A27" w:rsidP="00AF10BE">
      <w:pPr>
        <w:pStyle w:val="BodyText"/>
        <w:rPr>
          <w:rFonts w:asciiTheme="minorBidi" w:hAnsiTheme="minorBidi"/>
        </w:rPr>
      </w:pPr>
      <w:r w:rsidRPr="00B95FBB">
        <w:rPr>
          <w:rFonts w:asciiTheme="minorBidi" w:hAnsiTheme="minorBidi"/>
        </w:rPr>
        <w:t xml:space="preserve">The relative power tolerance which applies for subframes during the active state is applied from </w:t>
      </w:r>
      <w:r w:rsidR="004D7DDA">
        <w:rPr>
          <w:rFonts w:asciiTheme="minorBidi" w:hAnsiTheme="minorBidi"/>
        </w:rPr>
        <w:fldChar w:fldCharType="begin"/>
      </w:r>
      <w:r w:rsidR="004D7DDA">
        <w:rPr>
          <w:rFonts w:asciiTheme="minorBidi" w:hAnsiTheme="minorBidi"/>
        </w:rPr>
        <w:instrText xml:space="preserve"> REF _Ref525981698 \h </w:instrText>
      </w:r>
      <w:r w:rsidR="004D7DDA">
        <w:rPr>
          <w:rFonts w:asciiTheme="minorBidi" w:hAnsiTheme="minorBidi"/>
        </w:rPr>
      </w:r>
      <w:r w:rsidR="004D7DDA">
        <w:rPr>
          <w:rFonts w:asciiTheme="minorBidi" w:hAnsiTheme="minorBidi"/>
        </w:rPr>
        <w:fldChar w:fldCharType="separate"/>
      </w:r>
      <w:r w:rsidR="00812E4F">
        <w:t xml:space="preserve">Table </w:t>
      </w:r>
      <w:r w:rsidR="00812E4F">
        <w:rPr>
          <w:noProof/>
        </w:rPr>
        <w:t>1</w:t>
      </w:r>
      <w:r w:rsidR="004D7DDA">
        <w:rPr>
          <w:rFonts w:asciiTheme="minorBidi" w:hAnsiTheme="minorBidi"/>
        </w:rPr>
        <w:fldChar w:fldCharType="end"/>
      </w:r>
      <w:r w:rsidR="004D7DDA">
        <w:rPr>
          <w:rFonts w:asciiTheme="minorBidi" w:hAnsiTheme="minorBidi"/>
        </w:rPr>
        <w:t xml:space="preserve"> </w:t>
      </w:r>
      <w:r w:rsidR="000B60BD">
        <w:rPr>
          <w:rFonts w:asciiTheme="minorBidi" w:hAnsiTheme="minorBidi"/>
        </w:rPr>
        <w:t>[2</w:t>
      </w:r>
      <w:r>
        <w:rPr>
          <w:rFonts w:asciiTheme="minorBidi" w:hAnsiTheme="minorBidi"/>
        </w:rPr>
        <w:t>]</w:t>
      </w:r>
      <w:r w:rsidRPr="00B95FBB">
        <w:rPr>
          <w:rFonts w:asciiTheme="minorBidi" w:hAnsiTheme="minorBidi"/>
        </w:rPr>
        <w:t>. According to this table for different power steps which is derived from power control, there is a relative power tolerance. For example, if one subframe contains PUSCH and PUSCH and SRS, and the power level is +10dBm, and the power step is +2.5dBm, then the new subframe has a relative tolerance of +/-4dBm. This means that the UE must transmit with power within 10+2.5-4=8.5dBm and 10+2.5+4=16.5dBm.</w:t>
      </w:r>
    </w:p>
    <w:p w14:paraId="1CE8A72F" w14:textId="07587586" w:rsidR="005D3A27" w:rsidRPr="0094790D" w:rsidRDefault="0094790D" w:rsidP="00261764">
      <w:pPr>
        <w:pStyle w:val="Caption"/>
        <w:keepNext/>
        <w:jc w:val="center"/>
      </w:pPr>
      <w:bookmarkStart w:id="3" w:name="_Ref525981698"/>
      <w:r>
        <w:lastRenderedPageBreak/>
        <w:t xml:space="preserve">Table </w:t>
      </w:r>
      <w:r w:rsidR="006A01B7">
        <w:rPr>
          <w:noProof/>
        </w:rPr>
        <w:fldChar w:fldCharType="begin"/>
      </w:r>
      <w:r w:rsidR="006A01B7">
        <w:rPr>
          <w:noProof/>
        </w:rPr>
        <w:instrText xml:space="preserve"> SEQ Table \* ARABIC </w:instrText>
      </w:r>
      <w:r w:rsidR="006A01B7">
        <w:rPr>
          <w:noProof/>
        </w:rPr>
        <w:fldChar w:fldCharType="separate"/>
      </w:r>
      <w:r w:rsidR="00812E4F">
        <w:rPr>
          <w:noProof/>
        </w:rPr>
        <w:t>1</w:t>
      </w:r>
      <w:r w:rsidR="006A01B7">
        <w:rPr>
          <w:noProof/>
        </w:rPr>
        <w:fldChar w:fldCharType="end"/>
      </w:r>
      <w:bookmarkEnd w:id="3"/>
      <w:r w:rsidR="005D3A27" w:rsidRPr="0094790D">
        <w:t xml:space="preserve"> Relative power tolerance</w:t>
      </w:r>
    </w:p>
    <w:tbl>
      <w:tblPr>
        <w:tblW w:w="6871"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5D3A27" w:rsidRPr="004B3898" w14:paraId="55539BF3" w14:textId="77777777" w:rsidTr="00B256BE">
        <w:trPr>
          <w:trHeight w:val="420"/>
        </w:trPr>
        <w:tc>
          <w:tcPr>
            <w:tcW w:w="1600" w:type="dxa"/>
            <w:shd w:val="clear" w:color="auto" w:fill="auto"/>
            <w:vAlign w:val="center"/>
          </w:tcPr>
          <w:p w14:paraId="2462807B" w14:textId="77777777" w:rsidR="005D3A27" w:rsidRDefault="005D3A27" w:rsidP="00B256BE">
            <w:pPr>
              <w:pStyle w:val="TAH"/>
            </w:pPr>
            <w:r>
              <w:t xml:space="preserve">Power step </w:t>
            </w:r>
            <w:r>
              <w:rPr>
                <w:rFonts w:ascii="Symbol" w:hAnsi="Symbol"/>
              </w:rPr>
              <w:t></w:t>
            </w:r>
            <w:r>
              <w:t>P (Up or down)</w:t>
            </w:r>
          </w:p>
          <w:p w14:paraId="71E7B051" w14:textId="77777777" w:rsidR="005D3A27" w:rsidRPr="004B3898" w:rsidRDefault="005D3A27" w:rsidP="00B256BE">
            <w:pPr>
              <w:pStyle w:val="TAH"/>
              <w:rPr>
                <w:rFonts w:eastAsia="MS Mincho"/>
              </w:rPr>
            </w:pPr>
            <w:r>
              <w:t>[dB]</w:t>
            </w:r>
          </w:p>
        </w:tc>
        <w:tc>
          <w:tcPr>
            <w:tcW w:w="1813" w:type="dxa"/>
            <w:shd w:val="clear" w:color="auto" w:fill="auto"/>
            <w:vAlign w:val="center"/>
          </w:tcPr>
          <w:p w14:paraId="6064181F" w14:textId="77777777" w:rsidR="005D3A27" w:rsidRPr="00531E51" w:rsidRDefault="005D3A27" w:rsidP="00B256BE">
            <w:pPr>
              <w:pStyle w:val="TAH"/>
              <w:rPr>
                <w:rFonts w:cs="v5.0.0"/>
              </w:rPr>
            </w:pPr>
            <w:r>
              <w:rPr>
                <w:rFonts w:cs="v5.0.0"/>
              </w:rPr>
              <w:t>All combinations of PUSCH and PUCCH transitions [dB]</w:t>
            </w:r>
          </w:p>
        </w:tc>
        <w:tc>
          <w:tcPr>
            <w:tcW w:w="1909" w:type="dxa"/>
            <w:shd w:val="clear" w:color="auto" w:fill="auto"/>
            <w:vAlign w:val="center"/>
          </w:tcPr>
          <w:p w14:paraId="7AFE5179" w14:textId="77777777" w:rsidR="005D3A27" w:rsidRPr="00531E51" w:rsidRDefault="005D3A27" w:rsidP="00B256BE">
            <w:pPr>
              <w:pStyle w:val="TAH"/>
              <w:rPr>
                <w:rFonts w:cs="v5.0.0"/>
              </w:rPr>
            </w:pPr>
            <w:r>
              <w:rPr>
                <w:rFonts w:cs="v5.0.0"/>
              </w:rPr>
              <w:t xml:space="preserve">All combinations of PUSCH/PUCCH and SRS transitions </w:t>
            </w:r>
            <w:r w:rsidRPr="00392519">
              <w:rPr>
                <w:rFonts w:cs="v5.0.0"/>
              </w:rPr>
              <w:t>between sub-frames [dB]</w:t>
            </w:r>
          </w:p>
        </w:tc>
        <w:tc>
          <w:tcPr>
            <w:tcW w:w="1549" w:type="dxa"/>
            <w:shd w:val="clear" w:color="auto" w:fill="auto"/>
            <w:vAlign w:val="center"/>
          </w:tcPr>
          <w:p w14:paraId="09888499" w14:textId="77777777" w:rsidR="005D3A27" w:rsidRPr="004B3898" w:rsidRDefault="005D3A27" w:rsidP="00B256BE">
            <w:pPr>
              <w:pStyle w:val="TAH"/>
              <w:rPr>
                <w:rFonts w:eastAsia="MS Mincho"/>
              </w:rPr>
            </w:pPr>
            <w:r>
              <w:rPr>
                <w:rFonts w:eastAsia="MS Mincho"/>
              </w:rPr>
              <w:t>PRACH [dB]</w:t>
            </w:r>
          </w:p>
        </w:tc>
      </w:tr>
      <w:tr w:rsidR="005D3A27" w:rsidRPr="004B3898" w14:paraId="61260348" w14:textId="77777777" w:rsidTr="00B256BE">
        <w:trPr>
          <w:trHeight w:val="255"/>
        </w:trPr>
        <w:tc>
          <w:tcPr>
            <w:tcW w:w="1600" w:type="dxa"/>
            <w:shd w:val="clear" w:color="auto" w:fill="auto"/>
            <w:vAlign w:val="center"/>
          </w:tcPr>
          <w:p w14:paraId="0392A63A" w14:textId="77777777" w:rsidR="005D3A27" w:rsidRPr="004B3898" w:rsidRDefault="005D3A27" w:rsidP="00B256BE">
            <w:pPr>
              <w:pStyle w:val="TAC"/>
              <w:rPr>
                <w:rFonts w:eastAsia="MS Mincho"/>
              </w:rPr>
            </w:pPr>
            <w:r w:rsidRPr="00C21E8F">
              <w:t>ΔP</w:t>
            </w:r>
            <w:r>
              <w:t xml:space="preserve"> &lt; 2</w:t>
            </w:r>
          </w:p>
        </w:tc>
        <w:tc>
          <w:tcPr>
            <w:tcW w:w="1813" w:type="dxa"/>
            <w:shd w:val="clear" w:color="auto" w:fill="auto"/>
            <w:vAlign w:val="center"/>
          </w:tcPr>
          <w:p w14:paraId="2BFFB698" w14:textId="77777777" w:rsidR="005D3A27" w:rsidRPr="004B3898" w:rsidRDefault="005D3A27" w:rsidP="00B256BE">
            <w:pPr>
              <w:pStyle w:val="TAC"/>
              <w:rPr>
                <w:rFonts w:eastAsia="MS Mincho"/>
              </w:rPr>
            </w:pPr>
            <w:r>
              <w:rPr>
                <w:rFonts w:cs="Arial"/>
              </w:rPr>
              <w:t>±</w:t>
            </w:r>
            <w:r>
              <w:t>2.5</w:t>
            </w:r>
          </w:p>
        </w:tc>
        <w:tc>
          <w:tcPr>
            <w:tcW w:w="1909" w:type="dxa"/>
            <w:shd w:val="clear" w:color="auto" w:fill="auto"/>
            <w:vAlign w:val="center"/>
          </w:tcPr>
          <w:p w14:paraId="0C0CAF8D" w14:textId="77777777" w:rsidR="005D3A27" w:rsidRPr="004B3898" w:rsidRDefault="005D3A27" w:rsidP="00B256BE">
            <w:pPr>
              <w:pStyle w:val="TAC"/>
              <w:rPr>
                <w:rFonts w:eastAsia="MS Mincho"/>
              </w:rPr>
            </w:pPr>
            <w:r w:rsidRPr="008D4D26">
              <w:t>±</w:t>
            </w:r>
            <w:r>
              <w:t>3.0</w:t>
            </w:r>
          </w:p>
        </w:tc>
        <w:tc>
          <w:tcPr>
            <w:tcW w:w="1549" w:type="dxa"/>
            <w:shd w:val="clear" w:color="auto" w:fill="auto"/>
            <w:vAlign w:val="center"/>
          </w:tcPr>
          <w:p w14:paraId="5DB76EE4" w14:textId="77777777" w:rsidR="005D3A27" w:rsidRPr="004B3898" w:rsidRDefault="005D3A27" w:rsidP="00B256BE">
            <w:pPr>
              <w:pStyle w:val="TAC"/>
              <w:rPr>
                <w:rFonts w:eastAsia="MS Mincho"/>
              </w:rPr>
            </w:pPr>
            <w:r>
              <w:rPr>
                <w:rFonts w:cs="Arial"/>
              </w:rPr>
              <w:t>±</w:t>
            </w:r>
            <w:r>
              <w:t>2.5</w:t>
            </w:r>
          </w:p>
        </w:tc>
      </w:tr>
      <w:tr w:rsidR="005D3A27" w:rsidRPr="004B3898" w14:paraId="02C4A78F" w14:textId="77777777" w:rsidTr="00B256BE">
        <w:trPr>
          <w:trHeight w:val="255"/>
        </w:trPr>
        <w:tc>
          <w:tcPr>
            <w:tcW w:w="1600" w:type="dxa"/>
            <w:shd w:val="clear" w:color="auto" w:fill="auto"/>
            <w:vAlign w:val="center"/>
          </w:tcPr>
          <w:p w14:paraId="0A58D4ED" w14:textId="77777777" w:rsidR="005D3A27" w:rsidRPr="004B3898" w:rsidRDefault="005D3A27" w:rsidP="00B256BE">
            <w:pPr>
              <w:pStyle w:val="TAC"/>
              <w:rPr>
                <w:rFonts w:eastAsia="MS Mincho"/>
              </w:rPr>
            </w:pPr>
            <w:r>
              <w:t xml:space="preserve">2 </w:t>
            </w:r>
            <w:r>
              <w:rPr>
                <w:rFonts w:cs="Arial"/>
              </w:rPr>
              <w:t>≤</w:t>
            </w:r>
            <w:r w:rsidRPr="00C21E8F">
              <w:t xml:space="preserve"> ΔP</w:t>
            </w:r>
            <w:r>
              <w:t xml:space="preserve"> &lt; 3</w:t>
            </w:r>
          </w:p>
        </w:tc>
        <w:tc>
          <w:tcPr>
            <w:tcW w:w="1813" w:type="dxa"/>
            <w:shd w:val="clear" w:color="auto" w:fill="auto"/>
            <w:vAlign w:val="center"/>
          </w:tcPr>
          <w:p w14:paraId="0CED2D91" w14:textId="77777777" w:rsidR="005D3A27" w:rsidRPr="004B3898" w:rsidRDefault="005D3A27" w:rsidP="00B256BE">
            <w:pPr>
              <w:pStyle w:val="TAC"/>
              <w:rPr>
                <w:rFonts w:eastAsia="MS Mincho"/>
              </w:rPr>
            </w:pPr>
            <w:r>
              <w:rPr>
                <w:rFonts w:cs="Arial"/>
              </w:rPr>
              <w:t>±</w:t>
            </w:r>
            <w:r>
              <w:t>3.0</w:t>
            </w:r>
          </w:p>
        </w:tc>
        <w:tc>
          <w:tcPr>
            <w:tcW w:w="1909" w:type="dxa"/>
            <w:shd w:val="clear" w:color="auto" w:fill="auto"/>
            <w:vAlign w:val="center"/>
          </w:tcPr>
          <w:p w14:paraId="01F9C043" w14:textId="77777777" w:rsidR="005D3A27" w:rsidRPr="004B3898" w:rsidRDefault="005D3A27" w:rsidP="00B256BE">
            <w:pPr>
              <w:pStyle w:val="TAC"/>
              <w:rPr>
                <w:rFonts w:eastAsia="MS Mincho"/>
              </w:rPr>
            </w:pPr>
            <w:r>
              <w:t>±4.0</w:t>
            </w:r>
          </w:p>
        </w:tc>
        <w:tc>
          <w:tcPr>
            <w:tcW w:w="1549" w:type="dxa"/>
            <w:shd w:val="clear" w:color="auto" w:fill="auto"/>
            <w:vAlign w:val="center"/>
          </w:tcPr>
          <w:p w14:paraId="655180BC" w14:textId="77777777" w:rsidR="005D3A27" w:rsidRPr="004B3898" w:rsidRDefault="005D3A27" w:rsidP="00B256BE">
            <w:pPr>
              <w:pStyle w:val="TAC"/>
              <w:rPr>
                <w:rFonts w:eastAsia="MS Mincho"/>
              </w:rPr>
            </w:pPr>
            <w:r>
              <w:rPr>
                <w:rFonts w:cs="Arial"/>
              </w:rPr>
              <w:t>±</w:t>
            </w:r>
            <w:r>
              <w:t>3.0</w:t>
            </w:r>
          </w:p>
        </w:tc>
      </w:tr>
      <w:tr w:rsidR="005D3A27" w:rsidRPr="004B3898" w14:paraId="2213AA66" w14:textId="77777777" w:rsidTr="00B256BE">
        <w:trPr>
          <w:trHeight w:val="255"/>
        </w:trPr>
        <w:tc>
          <w:tcPr>
            <w:tcW w:w="1600" w:type="dxa"/>
            <w:shd w:val="clear" w:color="auto" w:fill="auto"/>
            <w:vAlign w:val="center"/>
          </w:tcPr>
          <w:p w14:paraId="4D5CDBB6" w14:textId="77777777" w:rsidR="005D3A27" w:rsidRPr="004B3898" w:rsidRDefault="005D3A27" w:rsidP="00B256BE">
            <w:pPr>
              <w:pStyle w:val="TAC"/>
              <w:rPr>
                <w:rFonts w:eastAsia="MS Mincho"/>
              </w:rPr>
            </w:pPr>
            <w:r>
              <w:t xml:space="preserve">3 </w:t>
            </w:r>
            <w:r>
              <w:rPr>
                <w:rFonts w:cs="Arial"/>
              </w:rPr>
              <w:t>≤</w:t>
            </w:r>
            <w:r w:rsidRPr="00C21E8F">
              <w:t xml:space="preserve"> ΔP</w:t>
            </w:r>
            <w:r>
              <w:t xml:space="preserve"> &lt; 4</w:t>
            </w:r>
          </w:p>
        </w:tc>
        <w:tc>
          <w:tcPr>
            <w:tcW w:w="1813" w:type="dxa"/>
            <w:shd w:val="clear" w:color="auto" w:fill="auto"/>
            <w:vAlign w:val="center"/>
          </w:tcPr>
          <w:p w14:paraId="7E65A8E3" w14:textId="77777777" w:rsidR="005D3A27" w:rsidRPr="004B3898" w:rsidRDefault="005D3A27" w:rsidP="00B256BE">
            <w:pPr>
              <w:pStyle w:val="TAC"/>
              <w:rPr>
                <w:rFonts w:eastAsia="MS Mincho"/>
              </w:rPr>
            </w:pPr>
            <w:r>
              <w:rPr>
                <w:rFonts w:cs="Arial"/>
              </w:rPr>
              <w:t>±</w:t>
            </w:r>
            <w:r>
              <w:t>3.5</w:t>
            </w:r>
          </w:p>
        </w:tc>
        <w:tc>
          <w:tcPr>
            <w:tcW w:w="1909" w:type="dxa"/>
            <w:shd w:val="clear" w:color="auto" w:fill="auto"/>
            <w:vAlign w:val="center"/>
          </w:tcPr>
          <w:p w14:paraId="1D0D0028" w14:textId="77777777" w:rsidR="005D3A27" w:rsidRPr="004B3898" w:rsidRDefault="005D3A27" w:rsidP="00B256BE">
            <w:pPr>
              <w:pStyle w:val="TAC"/>
              <w:rPr>
                <w:rFonts w:eastAsia="MS Mincho"/>
              </w:rPr>
            </w:pPr>
            <w:r>
              <w:t>±5.0</w:t>
            </w:r>
          </w:p>
        </w:tc>
        <w:tc>
          <w:tcPr>
            <w:tcW w:w="1549" w:type="dxa"/>
            <w:shd w:val="clear" w:color="auto" w:fill="auto"/>
            <w:vAlign w:val="center"/>
          </w:tcPr>
          <w:p w14:paraId="16CBC365" w14:textId="77777777" w:rsidR="005D3A27" w:rsidRPr="004B3898" w:rsidRDefault="005D3A27" w:rsidP="00B256BE">
            <w:pPr>
              <w:pStyle w:val="TAC"/>
              <w:rPr>
                <w:rFonts w:eastAsia="MS Mincho"/>
              </w:rPr>
            </w:pPr>
            <w:r>
              <w:rPr>
                <w:rFonts w:cs="Arial"/>
              </w:rPr>
              <w:t>±</w:t>
            </w:r>
            <w:r>
              <w:t>3.5</w:t>
            </w:r>
          </w:p>
        </w:tc>
      </w:tr>
      <w:tr w:rsidR="005D3A27" w:rsidRPr="004B3898" w14:paraId="04312E47" w14:textId="77777777" w:rsidTr="00B256BE">
        <w:trPr>
          <w:trHeight w:val="255"/>
        </w:trPr>
        <w:tc>
          <w:tcPr>
            <w:tcW w:w="1600" w:type="dxa"/>
            <w:shd w:val="clear" w:color="auto" w:fill="auto"/>
            <w:vAlign w:val="center"/>
          </w:tcPr>
          <w:p w14:paraId="677CC113" w14:textId="77777777" w:rsidR="005D3A27" w:rsidRPr="00BF6140" w:rsidRDefault="005D3A27" w:rsidP="00B256BE">
            <w:pPr>
              <w:pStyle w:val="TAC"/>
            </w:pPr>
            <w:r w:rsidRPr="00C21E8F">
              <w:t>4</w:t>
            </w:r>
            <w:r>
              <w:t xml:space="preserve"> </w:t>
            </w:r>
            <w:r>
              <w:rPr>
                <w:rFonts w:cs="Arial"/>
              </w:rPr>
              <w:t>≤</w:t>
            </w:r>
            <w:r w:rsidRPr="00C21E8F">
              <w:t xml:space="preserve"> ΔP ≤</w:t>
            </w:r>
            <w:r>
              <w:t xml:space="preserve"> 10</w:t>
            </w:r>
          </w:p>
        </w:tc>
        <w:tc>
          <w:tcPr>
            <w:tcW w:w="1813" w:type="dxa"/>
            <w:shd w:val="clear" w:color="auto" w:fill="auto"/>
            <w:vAlign w:val="center"/>
          </w:tcPr>
          <w:p w14:paraId="3807F4AF" w14:textId="77777777" w:rsidR="005D3A27" w:rsidRPr="004B3898" w:rsidRDefault="005D3A27" w:rsidP="00B256BE">
            <w:pPr>
              <w:pStyle w:val="TAC"/>
              <w:rPr>
                <w:rFonts w:eastAsia="MS Mincho"/>
              </w:rPr>
            </w:pPr>
            <w:r w:rsidRPr="00C21E8F">
              <w:t>±4.0</w:t>
            </w:r>
          </w:p>
        </w:tc>
        <w:tc>
          <w:tcPr>
            <w:tcW w:w="1909" w:type="dxa"/>
            <w:shd w:val="clear" w:color="auto" w:fill="auto"/>
            <w:vAlign w:val="center"/>
          </w:tcPr>
          <w:p w14:paraId="24429DF1" w14:textId="77777777" w:rsidR="005D3A27" w:rsidRPr="004B3898" w:rsidRDefault="005D3A27" w:rsidP="00B256BE">
            <w:pPr>
              <w:pStyle w:val="TAC"/>
              <w:rPr>
                <w:rFonts w:eastAsia="MS Mincho"/>
              </w:rPr>
            </w:pPr>
            <w:r>
              <w:t>±6.0</w:t>
            </w:r>
          </w:p>
        </w:tc>
        <w:tc>
          <w:tcPr>
            <w:tcW w:w="1549" w:type="dxa"/>
            <w:shd w:val="clear" w:color="auto" w:fill="auto"/>
            <w:vAlign w:val="center"/>
          </w:tcPr>
          <w:p w14:paraId="2AB1DB27" w14:textId="77777777" w:rsidR="005D3A27" w:rsidRPr="004B3898" w:rsidRDefault="005D3A27" w:rsidP="00B256BE">
            <w:pPr>
              <w:pStyle w:val="TAC"/>
              <w:rPr>
                <w:rFonts w:eastAsia="MS Mincho"/>
              </w:rPr>
            </w:pPr>
            <w:r w:rsidRPr="00C21E8F">
              <w:t>±</w:t>
            </w:r>
            <w:r>
              <w:t>4.0</w:t>
            </w:r>
          </w:p>
        </w:tc>
      </w:tr>
      <w:tr w:rsidR="005D3A27" w:rsidRPr="004B3898" w14:paraId="5677AF23" w14:textId="77777777" w:rsidTr="00B256BE">
        <w:trPr>
          <w:trHeight w:val="255"/>
        </w:trPr>
        <w:tc>
          <w:tcPr>
            <w:tcW w:w="1600" w:type="dxa"/>
            <w:shd w:val="clear" w:color="auto" w:fill="auto"/>
            <w:vAlign w:val="center"/>
          </w:tcPr>
          <w:p w14:paraId="6DC91BBA" w14:textId="77777777" w:rsidR="005D3A27" w:rsidRPr="004B3898" w:rsidRDefault="005D3A27" w:rsidP="00B256BE">
            <w:pPr>
              <w:pStyle w:val="TAC"/>
              <w:rPr>
                <w:rFonts w:eastAsia="MS Mincho"/>
              </w:rPr>
            </w:pPr>
            <w:r>
              <w:t xml:space="preserve">10 </w:t>
            </w:r>
            <w:r>
              <w:rPr>
                <w:rFonts w:cs="Arial"/>
              </w:rPr>
              <w:t>≤</w:t>
            </w:r>
            <w:r w:rsidRPr="00C21E8F">
              <w:t xml:space="preserve"> ΔP</w:t>
            </w:r>
            <w:r>
              <w:t xml:space="preserve"> &lt; 15</w:t>
            </w:r>
          </w:p>
        </w:tc>
        <w:tc>
          <w:tcPr>
            <w:tcW w:w="1813" w:type="dxa"/>
            <w:shd w:val="clear" w:color="auto" w:fill="auto"/>
            <w:vAlign w:val="center"/>
          </w:tcPr>
          <w:p w14:paraId="5739A8C7" w14:textId="77777777" w:rsidR="005D3A27" w:rsidRPr="004B3898" w:rsidRDefault="005D3A27" w:rsidP="00B256BE">
            <w:pPr>
              <w:pStyle w:val="TAC"/>
              <w:rPr>
                <w:rFonts w:eastAsia="MS Mincho"/>
              </w:rPr>
            </w:pPr>
            <w:r w:rsidRPr="00C21E8F">
              <w:t>±5.0</w:t>
            </w:r>
          </w:p>
        </w:tc>
        <w:tc>
          <w:tcPr>
            <w:tcW w:w="1909" w:type="dxa"/>
            <w:shd w:val="clear" w:color="auto" w:fill="auto"/>
            <w:vAlign w:val="center"/>
          </w:tcPr>
          <w:p w14:paraId="5A0CBE05" w14:textId="77777777" w:rsidR="005D3A27" w:rsidRPr="004B3898" w:rsidRDefault="005D3A27" w:rsidP="00B256BE">
            <w:pPr>
              <w:pStyle w:val="TAC"/>
              <w:rPr>
                <w:rFonts w:eastAsia="MS Mincho"/>
              </w:rPr>
            </w:pPr>
            <w:r>
              <w:t>±8.0</w:t>
            </w:r>
          </w:p>
        </w:tc>
        <w:tc>
          <w:tcPr>
            <w:tcW w:w="1549" w:type="dxa"/>
            <w:shd w:val="clear" w:color="auto" w:fill="auto"/>
            <w:vAlign w:val="center"/>
          </w:tcPr>
          <w:p w14:paraId="35E2BCF4" w14:textId="77777777" w:rsidR="005D3A27" w:rsidRPr="004B3898" w:rsidRDefault="005D3A27" w:rsidP="00B256BE">
            <w:pPr>
              <w:pStyle w:val="TAC"/>
              <w:rPr>
                <w:rFonts w:eastAsia="MS Mincho"/>
              </w:rPr>
            </w:pPr>
            <w:r w:rsidRPr="00C21E8F">
              <w:t>±5.0</w:t>
            </w:r>
          </w:p>
        </w:tc>
      </w:tr>
      <w:tr w:rsidR="005D3A27" w:rsidRPr="004B3898" w14:paraId="5FAC5BDC" w14:textId="77777777" w:rsidTr="00B256BE">
        <w:trPr>
          <w:trHeight w:val="255"/>
        </w:trPr>
        <w:tc>
          <w:tcPr>
            <w:tcW w:w="1600" w:type="dxa"/>
            <w:shd w:val="clear" w:color="auto" w:fill="auto"/>
            <w:vAlign w:val="center"/>
          </w:tcPr>
          <w:p w14:paraId="4886AB07" w14:textId="77777777" w:rsidR="005D3A27" w:rsidRPr="004B3898" w:rsidRDefault="005D3A27" w:rsidP="00B256BE">
            <w:pPr>
              <w:pStyle w:val="TAC"/>
              <w:rPr>
                <w:rFonts w:eastAsia="MS Mincho"/>
              </w:rPr>
            </w:pPr>
            <w:r>
              <w:t xml:space="preserve">15 </w:t>
            </w:r>
            <w:r>
              <w:rPr>
                <w:rFonts w:cs="Arial"/>
              </w:rPr>
              <w:t>≤</w:t>
            </w:r>
            <w:r w:rsidRPr="00C21E8F">
              <w:t xml:space="preserve"> ΔP</w:t>
            </w:r>
          </w:p>
        </w:tc>
        <w:tc>
          <w:tcPr>
            <w:tcW w:w="1813" w:type="dxa"/>
            <w:shd w:val="clear" w:color="auto" w:fill="auto"/>
            <w:vAlign w:val="center"/>
          </w:tcPr>
          <w:p w14:paraId="715C1929" w14:textId="77777777" w:rsidR="005D3A27" w:rsidRPr="004B3898" w:rsidRDefault="005D3A27" w:rsidP="00B256BE">
            <w:pPr>
              <w:pStyle w:val="TAC"/>
              <w:rPr>
                <w:rFonts w:eastAsia="MS Mincho"/>
              </w:rPr>
            </w:pPr>
            <w:r w:rsidRPr="00C21E8F">
              <w:t>±6.0</w:t>
            </w:r>
          </w:p>
        </w:tc>
        <w:tc>
          <w:tcPr>
            <w:tcW w:w="1909" w:type="dxa"/>
            <w:shd w:val="clear" w:color="auto" w:fill="auto"/>
            <w:vAlign w:val="center"/>
          </w:tcPr>
          <w:p w14:paraId="753E3021" w14:textId="77777777" w:rsidR="005D3A27" w:rsidRPr="004B3898" w:rsidRDefault="005D3A27" w:rsidP="00B256BE">
            <w:pPr>
              <w:pStyle w:val="TAC"/>
              <w:rPr>
                <w:rFonts w:eastAsia="MS Mincho"/>
              </w:rPr>
            </w:pPr>
            <w:r>
              <w:t>±9.0</w:t>
            </w:r>
          </w:p>
        </w:tc>
        <w:tc>
          <w:tcPr>
            <w:tcW w:w="1549" w:type="dxa"/>
            <w:shd w:val="clear" w:color="auto" w:fill="auto"/>
            <w:vAlign w:val="center"/>
          </w:tcPr>
          <w:p w14:paraId="6DC9541A" w14:textId="77777777" w:rsidR="005D3A27" w:rsidRPr="004B3898" w:rsidRDefault="005D3A27" w:rsidP="00B256BE">
            <w:pPr>
              <w:pStyle w:val="TAC"/>
              <w:rPr>
                <w:rFonts w:eastAsia="MS Mincho"/>
              </w:rPr>
            </w:pPr>
            <w:r w:rsidRPr="00C21E8F">
              <w:t>±6.0</w:t>
            </w:r>
          </w:p>
        </w:tc>
      </w:tr>
    </w:tbl>
    <w:p w14:paraId="0C73D234" w14:textId="3810EF35" w:rsidR="005D3A27" w:rsidRDefault="005D3A27" w:rsidP="00261764">
      <w:pPr>
        <w:pStyle w:val="BodyText"/>
        <w:spacing w:before="180" w:after="0"/>
        <w:rPr>
          <w:rFonts w:asciiTheme="minorBidi" w:hAnsiTheme="minorBidi"/>
        </w:rPr>
      </w:pPr>
      <w:r w:rsidRPr="00B95FBB">
        <w:rPr>
          <w:rFonts w:asciiTheme="minorBidi" w:hAnsiTheme="minorBidi"/>
        </w:rPr>
        <w:t>When a UE starts transmitting (or having been inactive</w:t>
      </w:r>
      <w:r>
        <w:rPr>
          <w:rFonts w:asciiTheme="minorBidi" w:hAnsiTheme="minorBidi"/>
        </w:rPr>
        <w:t>)</w:t>
      </w:r>
      <w:r w:rsidRPr="00B95FBB">
        <w:rPr>
          <w:rFonts w:asciiTheme="minorBidi" w:hAnsiTheme="minorBidi"/>
        </w:rPr>
        <w:t xml:space="preserve"> for </w:t>
      </w:r>
      <w:r>
        <w:rPr>
          <w:rFonts w:asciiTheme="minorBidi" w:hAnsiTheme="minorBidi"/>
        </w:rPr>
        <w:t xml:space="preserve">longer than </w:t>
      </w:r>
      <w:r w:rsidRPr="00B95FBB">
        <w:rPr>
          <w:rFonts w:asciiTheme="minorBidi" w:hAnsiTheme="minorBidi"/>
        </w:rPr>
        <w:t>20m</w:t>
      </w:r>
      <w:r>
        <w:rPr>
          <w:rFonts w:asciiTheme="minorBidi" w:hAnsiTheme="minorBidi"/>
        </w:rPr>
        <w:t>s</w:t>
      </w:r>
      <w:r w:rsidR="00583A44">
        <w:rPr>
          <w:rFonts w:asciiTheme="minorBidi" w:hAnsiTheme="minorBidi"/>
        </w:rPr>
        <w:t xml:space="preserve"> shown in</w:t>
      </w:r>
      <w:r w:rsidR="004D7DDA">
        <w:rPr>
          <w:rFonts w:asciiTheme="minorBidi" w:hAnsiTheme="minorBidi"/>
        </w:rPr>
        <w:t xml:space="preserve"> </w:t>
      </w:r>
      <w:r w:rsidR="004D7DDA">
        <w:rPr>
          <w:rFonts w:asciiTheme="minorBidi" w:hAnsiTheme="minorBidi"/>
        </w:rPr>
        <w:fldChar w:fldCharType="begin"/>
      </w:r>
      <w:r w:rsidR="004D7DDA">
        <w:rPr>
          <w:rFonts w:asciiTheme="minorBidi" w:hAnsiTheme="minorBidi"/>
        </w:rPr>
        <w:instrText xml:space="preserve"> REF _Ref525976899 \h </w:instrText>
      </w:r>
      <w:r w:rsidR="004D7DDA">
        <w:rPr>
          <w:rFonts w:asciiTheme="minorBidi" w:hAnsiTheme="minorBidi"/>
        </w:rPr>
      </w:r>
      <w:r w:rsidR="004D7DDA">
        <w:rPr>
          <w:rFonts w:asciiTheme="minorBidi" w:hAnsiTheme="minorBidi"/>
        </w:rPr>
        <w:fldChar w:fldCharType="separate"/>
      </w:r>
      <w:r w:rsidR="00812E4F">
        <w:t xml:space="preserve">Figure </w:t>
      </w:r>
      <w:r w:rsidR="00812E4F">
        <w:rPr>
          <w:noProof/>
        </w:rPr>
        <w:t>1</w:t>
      </w:r>
      <w:r w:rsidR="004D7DDA">
        <w:rPr>
          <w:rFonts w:asciiTheme="minorBidi" w:hAnsiTheme="minorBidi"/>
        </w:rPr>
        <w:fldChar w:fldCharType="end"/>
      </w:r>
      <w:r w:rsidRPr="00B95FBB">
        <w:rPr>
          <w:rFonts w:asciiTheme="minorBidi" w:hAnsiTheme="minorBidi"/>
        </w:rPr>
        <w:t>, the absolute power tolerance which is derived from the RSRP (reference signal received power) and the path loss</w:t>
      </w:r>
      <w:r w:rsidR="00F055E0">
        <w:rPr>
          <w:rFonts w:asciiTheme="minorBidi" w:hAnsiTheme="minorBidi"/>
        </w:rPr>
        <w:t xml:space="preserve"> </w:t>
      </w:r>
      <w:r w:rsidR="007B00E0">
        <w:rPr>
          <w:rFonts w:asciiTheme="minorBidi" w:hAnsiTheme="minorBidi"/>
        </w:rPr>
        <w:t>is</w:t>
      </w:r>
      <w:r w:rsidRPr="00B95FBB">
        <w:rPr>
          <w:rFonts w:asciiTheme="minorBidi" w:hAnsiTheme="minorBidi"/>
        </w:rPr>
        <w:t xml:space="preserve"> P</w:t>
      </w:r>
      <w:r w:rsidRPr="00B95FBB">
        <w:rPr>
          <w:rFonts w:asciiTheme="minorBidi" w:hAnsiTheme="minorBidi"/>
          <w:vertAlign w:val="subscript"/>
        </w:rPr>
        <w:t>TX</w:t>
      </w:r>
      <w:r w:rsidRPr="00B95FBB">
        <w:rPr>
          <w:rFonts w:asciiTheme="minorBidi" w:hAnsiTheme="minorBidi"/>
        </w:rPr>
        <w:t xml:space="preserve">=RSRP+PL. The absolute power tolerance is +/- 9dB in normal case </w:t>
      </w:r>
      <w:r>
        <w:rPr>
          <w:rFonts w:asciiTheme="minorBidi" w:hAnsiTheme="minorBidi"/>
        </w:rPr>
        <w:t>[2]</w:t>
      </w:r>
    </w:p>
    <w:p w14:paraId="5253C093" w14:textId="77777777" w:rsidR="005D3A27" w:rsidRPr="00B95FBB" w:rsidRDefault="005D3A27" w:rsidP="00293F99">
      <w:pPr>
        <w:pStyle w:val="BodyText"/>
        <w:spacing w:after="0"/>
        <w:jc w:val="center"/>
        <w:rPr>
          <w:rFonts w:asciiTheme="minorBidi" w:hAnsiTheme="minorBidi"/>
        </w:rPr>
      </w:pPr>
      <w:r>
        <w:rPr>
          <w:noProof/>
        </w:rPr>
        <mc:AlternateContent>
          <mc:Choice Requires="wpc">
            <w:drawing>
              <wp:inline distT="0" distB="0" distL="0" distR="0" wp14:anchorId="1CD3006D" wp14:editId="12A1CEE8">
                <wp:extent cx="3619500" cy="622300"/>
                <wp:effectExtent l="0" t="0" r="0" b="635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flipV="1">
                            <a:off x="0" y="564011"/>
                            <a:ext cx="3076971" cy="74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5"/>
                        <wps:cNvSpPr txBox="1">
                          <a:spLocks noChangeArrowheads="1"/>
                        </wps:cNvSpPr>
                        <wps:spPr bwMode="auto">
                          <a:xfrm>
                            <a:off x="0" y="208674"/>
                            <a:ext cx="788541" cy="361688"/>
                          </a:xfrm>
                          <a:prstGeom prst="rect">
                            <a:avLst/>
                          </a:prstGeom>
                          <a:solidFill>
                            <a:srgbClr val="FFFFFF"/>
                          </a:solidFill>
                          <a:ln w="9525">
                            <a:solidFill>
                              <a:srgbClr val="000000"/>
                            </a:solidFill>
                            <a:miter lim="800000"/>
                            <a:headEnd/>
                            <a:tailEnd/>
                          </a:ln>
                        </wps:spPr>
                        <wps:txbx>
                          <w:txbxContent>
                            <w:p w14:paraId="7DF3570C" w14:textId="77777777" w:rsidR="00B256BE" w:rsidRPr="00717A3E" w:rsidRDefault="00B256BE" w:rsidP="005D3A27">
                              <w:pPr>
                                <w:jc w:val="center"/>
                                <w:rPr>
                                  <w:lang w:val="sv-SE"/>
                                </w:rPr>
                              </w:pPr>
                              <w:r w:rsidRPr="00717A3E">
                                <w:rPr>
                                  <w:lang w:val="sv-SE"/>
                                </w:rPr>
                                <w:t>Subframe n</w:t>
                              </w:r>
                            </w:p>
                          </w:txbxContent>
                        </wps:txbx>
                        <wps:bodyPr rot="0" vert="horz" wrap="square" lIns="0" tIns="45720" rIns="0" bIns="45720" anchor="t" anchorCtr="0" upright="1">
                          <a:noAutofit/>
                        </wps:bodyPr>
                      </wps:wsp>
                      <wps:wsp>
                        <wps:cNvPr id="3" name="Text Box 6"/>
                        <wps:cNvSpPr txBox="1">
                          <a:spLocks noChangeArrowheads="1"/>
                        </wps:cNvSpPr>
                        <wps:spPr bwMode="auto">
                          <a:xfrm>
                            <a:off x="2352128" y="202323"/>
                            <a:ext cx="975272" cy="361687"/>
                          </a:xfrm>
                          <a:prstGeom prst="rect">
                            <a:avLst/>
                          </a:prstGeom>
                          <a:solidFill>
                            <a:srgbClr val="FFFFFF"/>
                          </a:solidFill>
                          <a:ln w="9525">
                            <a:solidFill>
                              <a:srgbClr val="000000"/>
                            </a:solidFill>
                            <a:miter lim="800000"/>
                            <a:headEnd/>
                            <a:tailEnd/>
                          </a:ln>
                        </wps:spPr>
                        <wps:txbx>
                          <w:txbxContent>
                            <w:p w14:paraId="147123F2" w14:textId="77777777" w:rsidR="00B256BE" w:rsidRPr="00B92363" w:rsidRDefault="00B256BE" w:rsidP="005D3A27">
                              <w:pPr>
                                <w:jc w:val="center"/>
                                <w:rPr>
                                  <w:lang w:val="sv-SE"/>
                                </w:rPr>
                              </w:pPr>
                              <w:r>
                                <w:rPr>
                                  <w:lang w:val="sv-SE"/>
                                </w:rPr>
                                <w:t>Subframe n+k</w:t>
                              </w:r>
                            </w:p>
                          </w:txbxContent>
                        </wps:txbx>
                        <wps:bodyPr rot="0" vert="horz" wrap="square" lIns="0" tIns="45720" rIns="0" bIns="45720" anchor="t" anchorCtr="0" upright="1">
                          <a:noAutofit/>
                        </wps:bodyPr>
                      </wps:wsp>
                      <wps:wsp>
                        <wps:cNvPr id="6" name="Line 8"/>
                        <wps:cNvCnPr>
                          <a:cxnSpLocks noChangeShapeType="1"/>
                        </wps:cNvCnPr>
                        <wps:spPr bwMode="auto">
                          <a:xfrm>
                            <a:off x="788541" y="389728"/>
                            <a:ext cx="1555949"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Text Box 9"/>
                        <wps:cNvSpPr txBox="1">
                          <a:spLocks noChangeArrowheads="1"/>
                        </wps:cNvSpPr>
                        <wps:spPr bwMode="auto">
                          <a:xfrm>
                            <a:off x="1303139" y="202323"/>
                            <a:ext cx="470693" cy="1435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64D91" w14:textId="77777777" w:rsidR="00B256BE" w:rsidRPr="00416329" w:rsidRDefault="00B256BE" w:rsidP="005D3A27">
                              <w:pPr>
                                <w:rPr>
                                  <w:lang w:val="sv-SE"/>
                                </w:rPr>
                              </w:pPr>
                              <w:r>
                                <w:rPr>
                                  <w:lang w:val="sv-SE"/>
                                </w:rPr>
                                <w:t>&gt;20ms</w:t>
                              </w:r>
                            </w:p>
                          </w:txbxContent>
                        </wps:txbx>
                        <wps:bodyPr rot="0" vert="horz" wrap="square" lIns="0" tIns="0" rIns="0" bIns="0" anchor="t" anchorCtr="0" upright="1">
                          <a:noAutofit/>
                        </wps:bodyPr>
                      </wps:wsp>
                    </wpc:wpc>
                  </a:graphicData>
                </a:graphic>
              </wp:inline>
            </w:drawing>
          </mc:Choice>
          <mc:Fallback>
            <w:pict>
              <v:group w14:anchorId="1CD3006D" id="Canvas 12" o:spid="_x0000_s1026" editas="canvas" style="width:285pt;height:49pt;mso-position-horizontal-relative:char;mso-position-vertical-relative:line" coordsize="36195,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">
                <v:shape id="_x0000_s1027" type="#_x0000_t75" style="position:absolute;width:36195;height:6223;visibility:visible;mso-wrap-style:square">
                  <v:fill o:detectmouseclick="t"/>
                  <v:path o:connecttype="none"/>
                </v:shape>
                <v:line id="Line 4" o:spid="_x0000_s1028" style="position:absolute;flip:y;visibility:visible;mso-wrap-style:square" from="0,5640" to="30769,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202" coordsize="21600,21600" o:spt="202" path="m,l,21600r21600,l21600,xe">
                  <v:stroke joinstyle="miter"/>
                  <v:path gradientshapeok="t" o:connecttype="rect"/>
                </v:shapetype>
                <v:shape id="Text Box 5" o:spid="_x0000_s1029" type="#_x0000_t202" style="position:absolute;top:2086;width:7885;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">
                  <v:textbox inset="0,,0">
                    <w:txbxContent>
                      <w:p w14:paraId="7DF3570C" w14:textId="77777777" w:rsidR="00B256BE" w:rsidRPr="00717A3E" w:rsidRDefault="00B256BE" w:rsidP="005D3A27">
                        <w:pPr>
                          <w:jc w:val="center"/>
                          <w:rPr>
                            <w:lang w:val="sv-SE"/>
                          </w:rPr>
                        </w:pPr>
                        <w:r w:rsidRPr="00717A3E">
                          <w:rPr>
                            <w:lang w:val="sv-SE"/>
                          </w:rPr>
                          <w:t>Subframe n</w:t>
                        </w:r>
                      </w:p>
                    </w:txbxContent>
                  </v:textbox>
                </v:shape>
                <v:shape id="Text Box 6" o:spid="_x0000_s1030" type="#_x0000_t202" style="position:absolute;left:23521;top:2023;width:9753;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">
                  <v:textbox inset="0,,0">
                    <w:txbxContent>
                      <w:p w14:paraId="147123F2" w14:textId="77777777" w:rsidR="00B256BE" w:rsidRPr="00B92363" w:rsidRDefault="00B256BE" w:rsidP="005D3A27">
                        <w:pPr>
                          <w:jc w:val="center"/>
                          <w:rPr>
                            <w:lang w:val="sv-SE"/>
                          </w:rPr>
                        </w:pPr>
                        <w:r>
                          <w:rPr>
                            <w:lang w:val="sv-SE"/>
                          </w:rPr>
                          <w:t>Subframe n+k</w:t>
                        </w:r>
                      </w:p>
                    </w:txbxContent>
                  </v:textbox>
                </v:shape>
                <v:line id="Line 8" o:spid="_x0000_s1031" style="position:absolute;visibility:visible;mso-wrap-style:square" from="7885,3897" to="23444,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">
                  <v:stroke startarrow="block" endarrow="block"/>
                </v:line>
                <v:shape id="Text Box 9" o:spid="_x0000_s1032" type="#_x0000_t202" style="position:absolute;left:13031;top:2023;width:4707;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70664D91" w14:textId="77777777" w:rsidR="00B256BE" w:rsidRPr="00416329" w:rsidRDefault="00B256BE" w:rsidP="005D3A27">
                        <w:pPr>
                          <w:rPr>
                            <w:lang w:val="sv-SE"/>
                          </w:rPr>
                        </w:pPr>
                        <w:r>
                          <w:rPr>
                            <w:lang w:val="sv-SE"/>
                          </w:rPr>
                          <w:t>&gt;20ms</w:t>
                        </w:r>
                      </w:p>
                    </w:txbxContent>
                  </v:textbox>
                </v:shape>
                <w10:anchorlock/>
              </v:group>
            </w:pict>
          </mc:Fallback>
        </mc:AlternateContent>
      </w:r>
    </w:p>
    <w:p w14:paraId="720F9D44" w14:textId="24B76091" w:rsidR="005D3A27" w:rsidRPr="00841329" w:rsidRDefault="00841329" w:rsidP="00841329">
      <w:pPr>
        <w:pStyle w:val="Caption"/>
        <w:jc w:val="center"/>
      </w:pPr>
      <w:bookmarkStart w:id="4" w:name="_Ref525976899"/>
      <w:bookmarkStart w:id="5" w:name="_Ref525976670"/>
      <w:r>
        <w:t xml:space="preserve">Figure </w:t>
      </w:r>
      <w:r w:rsidR="00237077">
        <w:rPr>
          <w:noProof/>
        </w:rPr>
        <w:fldChar w:fldCharType="begin"/>
      </w:r>
      <w:r w:rsidR="00237077">
        <w:rPr>
          <w:noProof/>
        </w:rPr>
        <w:instrText xml:space="preserve"> SEQ Figure \* ARABIC </w:instrText>
      </w:r>
      <w:r w:rsidR="00237077">
        <w:rPr>
          <w:noProof/>
        </w:rPr>
        <w:fldChar w:fldCharType="separate"/>
      </w:r>
      <w:r w:rsidR="00812E4F">
        <w:rPr>
          <w:noProof/>
        </w:rPr>
        <w:t>1</w:t>
      </w:r>
      <w:r w:rsidR="00237077">
        <w:rPr>
          <w:noProof/>
        </w:rPr>
        <w:fldChar w:fldCharType="end"/>
      </w:r>
      <w:bookmarkEnd w:id="4"/>
      <w:r w:rsidR="005D3A27" w:rsidRPr="00841329">
        <w:t xml:space="preserve"> transmissions with inactive period of &gt;20ms in between</w:t>
      </w:r>
      <w:bookmarkEnd w:id="5"/>
      <w:r w:rsidR="00F8486A" w:rsidRPr="00841329">
        <w:t>.</w:t>
      </w:r>
    </w:p>
    <w:p w14:paraId="5C11400C" w14:textId="04FEEF20" w:rsidR="005D3A27" w:rsidRDefault="005D3A27" w:rsidP="00FB5447">
      <w:pPr>
        <w:pStyle w:val="BodyText"/>
        <w:spacing w:before="120"/>
      </w:pPr>
      <w:r w:rsidRPr="00907208">
        <w:rPr>
          <w:rFonts w:asciiTheme="minorBidi" w:hAnsiTheme="minorBidi"/>
        </w:rPr>
        <w:t xml:space="preserve">The UE transmit power is assumed to have a normal distribution with average equal to the calculated power level according to with a standard deviation of 1/3 times the relative power tolerance. </w:t>
      </w:r>
      <w:r>
        <w:rPr>
          <w:rFonts w:asciiTheme="minorBidi" w:hAnsiTheme="minorBidi"/>
        </w:rPr>
        <w:t xml:space="preserve">In this case a maximum power inaccuracy of 9dB corresponds to a normal distribution with standard deviation of 3dB. </w:t>
      </w:r>
      <w:r w:rsidR="00220B95">
        <w:rPr>
          <w:rFonts w:asciiTheme="minorBidi" w:hAnsiTheme="minorBidi"/>
        </w:rPr>
        <w:t xml:space="preserve">Otherwise if we consider a uniform distribution, in order to keep the same variance as the normal distribution, we should have a uniform distribution with roughly </w:t>
      </w:r>
      <w:r w:rsidR="00220B95">
        <w:rPr>
          <w:rFonts w:cs="Arial"/>
        </w:rPr>
        <w:t>±</w:t>
      </w:r>
      <w:r w:rsidR="00220B95">
        <w:t>5dB.</w:t>
      </w:r>
    </w:p>
    <w:p w14:paraId="7CA903B3" w14:textId="48A31FB4" w:rsidR="0030004F" w:rsidRPr="00B316EA" w:rsidRDefault="002976D5" w:rsidP="0061309A">
      <w:pPr>
        <w:jc w:val="both"/>
        <w:rPr>
          <w:rFonts w:ascii="Arial" w:hAnsi="Arial" w:cs="Arial"/>
        </w:rPr>
      </w:pPr>
      <w:r>
        <w:rPr>
          <w:rFonts w:ascii="Arial" w:hAnsi="Arial" w:cs="Arial"/>
        </w:rPr>
        <w:fldChar w:fldCharType="begin"/>
      </w:r>
      <w:r>
        <w:rPr>
          <w:rFonts w:ascii="Arial" w:hAnsi="Arial" w:cs="Arial"/>
        </w:rPr>
        <w:instrText xml:space="preserve"> REF _Ref525981630 \h </w:instrText>
      </w:r>
      <w:r>
        <w:rPr>
          <w:rFonts w:ascii="Arial" w:hAnsi="Arial" w:cs="Arial"/>
        </w:rPr>
      </w:r>
      <w:r>
        <w:rPr>
          <w:rFonts w:ascii="Arial" w:hAnsi="Arial" w:cs="Arial"/>
        </w:rPr>
        <w:fldChar w:fldCharType="separate"/>
      </w:r>
      <w:r w:rsidR="00812E4F">
        <w:t xml:space="preserve">Figure </w:t>
      </w:r>
      <w:r w:rsidR="00812E4F">
        <w:rPr>
          <w:noProof/>
        </w:rPr>
        <w:t>2</w:t>
      </w:r>
      <w:r>
        <w:rPr>
          <w:rFonts w:ascii="Arial" w:hAnsi="Arial" w:cs="Arial"/>
        </w:rPr>
        <w:fldChar w:fldCharType="end"/>
      </w:r>
      <w:r>
        <w:rPr>
          <w:rFonts w:ascii="Arial" w:hAnsi="Arial" w:cs="Arial"/>
        </w:rPr>
        <w:t xml:space="preserve"> </w:t>
      </w:r>
      <w:r w:rsidR="0030004F">
        <w:rPr>
          <w:rFonts w:ascii="Arial" w:hAnsi="Arial" w:cs="Arial"/>
        </w:rPr>
        <w:t>provide</w:t>
      </w:r>
      <w:r w:rsidR="00710ADC">
        <w:rPr>
          <w:rFonts w:ascii="Arial" w:hAnsi="Arial" w:cs="Arial"/>
        </w:rPr>
        <w:t>s</w:t>
      </w:r>
      <w:r w:rsidR="0030004F">
        <w:rPr>
          <w:rFonts w:ascii="Arial" w:hAnsi="Arial" w:cs="Arial"/>
        </w:rPr>
        <w:t xml:space="preserve"> a comparison for two different power (or SNR) variation cases</w:t>
      </w:r>
      <w:r w:rsidR="00566259">
        <w:rPr>
          <w:rFonts w:ascii="Arial" w:hAnsi="Arial" w:cs="Arial"/>
        </w:rPr>
        <w:t xml:space="preserve"> with the assumption of i</w:t>
      </w:r>
      <w:r w:rsidR="00566259">
        <w:rPr>
          <w:rFonts w:asciiTheme="minorBidi" w:hAnsiTheme="minorBidi"/>
        </w:rPr>
        <w:t xml:space="preserve">deal channel estimation, number RX antennas </w:t>
      </w:r>
      <w:r w:rsidR="00566259" w:rsidRPr="004634CB">
        <w:rPr>
          <w:rFonts w:ascii="Arial" w:hAnsi="Arial" w:cs="Arial"/>
          <w:i/>
        </w:rPr>
        <w:t>N</w:t>
      </w:r>
      <w:r w:rsidR="00566259">
        <w:rPr>
          <w:rFonts w:ascii="Arial" w:hAnsi="Arial" w:cs="Arial"/>
          <w:vertAlign w:val="subscript"/>
        </w:rPr>
        <w:t>rx</w:t>
      </w:r>
      <w:r w:rsidR="00566259">
        <w:rPr>
          <w:rFonts w:ascii="Arial" w:hAnsi="Arial" w:cs="Arial"/>
        </w:rPr>
        <w:t xml:space="preserve">=4, and the number allocated PRBs </w:t>
      </w:r>
      <w:r w:rsidR="00566259" w:rsidRPr="004634CB">
        <w:rPr>
          <w:rFonts w:ascii="Arial" w:hAnsi="Arial" w:cs="Arial"/>
          <w:i/>
        </w:rPr>
        <w:t>N</w:t>
      </w:r>
      <w:r w:rsidR="00566259">
        <w:rPr>
          <w:rFonts w:ascii="Arial" w:hAnsi="Arial" w:cs="Arial"/>
          <w:vertAlign w:val="subscript"/>
        </w:rPr>
        <w:t>PRB</w:t>
      </w:r>
      <w:r w:rsidR="00566259">
        <w:rPr>
          <w:rFonts w:ascii="Arial" w:hAnsi="Arial" w:cs="Arial"/>
        </w:rPr>
        <w:t>=6.</w:t>
      </w:r>
      <w:r w:rsidR="0030004F">
        <w:rPr>
          <w:rFonts w:ascii="Arial" w:hAnsi="Arial" w:cs="Arial"/>
        </w:rPr>
        <w:t xml:space="preserve"> The power varies according to a given distribution</w:t>
      </w:r>
      <w:r w:rsidR="00AB3623">
        <w:rPr>
          <w:rFonts w:ascii="Arial" w:hAnsi="Arial" w:cs="Arial"/>
        </w:rPr>
        <w:t>,</w:t>
      </w:r>
      <w:r w:rsidR="00725EA5">
        <w:rPr>
          <w:rFonts w:ascii="Arial" w:hAnsi="Arial" w:cs="Arial"/>
        </w:rPr>
        <w:t xml:space="preserve"> which can be</w:t>
      </w:r>
      <w:r w:rsidR="006D054E">
        <w:rPr>
          <w:rFonts w:ascii="Arial" w:hAnsi="Arial" w:cs="Arial"/>
        </w:rPr>
        <w:t xml:space="preserve"> either a </w:t>
      </w:r>
      <w:r w:rsidR="0030004F">
        <w:rPr>
          <w:rFonts w:ascii="Arial" w:hAnsi="Arial" w:cs="Arial"/>
        </w:rPr>
        <w:t>Gaussian</w:t>
      </w:r>
      <w:r w:rsidR="006D054E">
        <w:rPr>
          <w:rFonts w:ascii="Arial" w:hAnsi="Arial" w:cs="Arial"/>
        </w:rPr>
        <w:t xml:space="preserve"> distribution with</w:t>
      </w:r>
      <w:r w:rsidR="0030004F">
        <w:rPr>
          <w:rFonts w:ascii="Arial" w:hAnsi="Arial" w:cs="Arial"/>
        </w:rPr>
        <w:t xml:space="preserve"> standard deviation</w:t>
      </w:r>
      <w:r w:rsidR="006D054E">
        <w:rPr>
          <w:rFonts w:ascii="Arial" w:hAnsi="Arial" w:cs="Arial"/>
        </w:rPr>
        <w:t xml:space="preserve"> </w:t>
      </w:r>
      <m:oMath>
        <m:r>
          <w:rPr>
            <w:rFonts w:ascii="Cambria Math" w:hAnsi="Cambria Math" w:cs="Arial"/>
          </w:rPr>
          <m:t>σ</m:t>
        </m:r>
      </m:oMath>
      <w:r w:rsidR="0030004F">
        <w:rPr>
          <w:rFonts w:ascii="Arial" w:hAnsi="Arial" w:cs="Arial"/>
        </w:rPr>
        <w:t>=3dB</w:t>
      </w:r>
      <w:r w:rsidR="006D054E">
        <w:rPr>
          <w:rFonts w:ascii="Arial" w:hAnsi="Arial" w:cs="Arial"/>
        </w:rPr>
        <w:t xml:space="preserve"> or u</w:t>
      </w:r>
      <w:r w:rsidR="0030004F">
        <w:rPr>
          <w:rFonts w:ascii="Arial" w:hAnsi="Arial" w:cs="Arial"/>
        </w:rPr>
        <w:t>niform</w:t>
      </w:r>
      <w:r w:rsidR="006D054E">
        <w:rPr>
          <w:rFonts w:ascii="Arial" w:hAnsi="Arial" w:cs="Arial"/>
        </w:rPr>
        <w:t xml:space="preserve"> distribution in</w:t>
      </w:r>
      <w:r w:rsidR="0030004F">
        <w:rPr>
          <w:rFonts w:ascii="Arial" w:hAnsi="Arial" w:cs="Arial"/>
        </w:rPr>
        <w:t xml:space="preserve"> the interval [-5,</w:t>
      </w:r>
      <w:r w:rsidR="005C3967">
        <w:rPr>
          <w:rFonts w:ascii="Arial" w:hAnsi="Arial" w:cs="Arial"/>
        </w:rPr>
        <w:t xml:space="preserve"> </w:t>
      </w:r>
      <w:r w:rsidR="0030004F">
        <w:rPr>
          <w:rFonts w:ascii="Arial" w:hAnsi="Arial" w:cs="Arial"/>
        </w:rPr>
        <w:t>+5]dB</w:t>
      </w:r>
      <w:r w:rsidR="0030004F">
        <w:rPr>
          <w:rFonts w:asciiTheme="minorBidi" w:hAnsiTheme="minorBidi"/>
        </w:rPr>
        <w:t>.</w:t>
      </w:r>
      <w:r w:rsidR="0061309A">
        <w:rPr>
          <w:rFonts w:asciiTheme="minorBidi" w:hAnsiTheme="minorBidi"/>
        </w:rPr>
        <w:t xml:space="preserve">  It can be observed that the results from the +-5 dB uniform and 3 dB standard deviation Gaussian are quite similar over the range of overload factors studied at 10% BLER, and so to a first order approximation, either distribution can be considered.</w:t>
      </w:r>
    </w:p>
    <w:p w14:paraId="7AFFEF79" w14:textId="77777777" w:rsidR="0030004F" w:rsidRDefault="0030004F" w:rsidP="00261764">
      <w:pPr>
        <w:pStyle w:val="Figure"/>
        <w:spacing w:before="0" w:after="0"/>
      </w:pPr>
      <w:r>
        <w:rPr>
          <w:noProof/>
        </w:rPr>
        <w:drawing>
          <wp:inline distT="0" distB="0" distL="0" distR="0" wp14:anchorId="68F9D87D" wp14:editId="6E010293">
            <wp:extent cx="3152851" cy="2573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normal3_vs_unform5_ice_qpsk_20tbs_L4.jpg"/>
                    <pic:cNvPicPr/>
                  </pic:nvPicPr>
                  <pic:blipFill>
                    <a:blip r:embed="rId10">
                      <a:extLst>
                        <a:ext uri="{28A0092B-C50C-407E-A947-70E740481C1C}">
                          <a14:useLocalDpi xmlns:a14="http://schemas.microsoft.com/office/drawing/2010/main" val="0"/>
                        </a:ext>
                      </a:extLst>
                    </a:blip>
                    <a:stretch>
                      <a:fillRect/>
                    </a:stretch>
                  </pic:blipFill>
                  <pic:spPr>
                    <a:xfrm>
                      <a:off x="0" y="0"/>
                      <a:ext cx="3161979" cy="2580978"/>
                    </a:xfrm>
                    <a:prstGeom prst="rect">
                      <a:avLst/>
                    </a:prstGeom>
                  </pic:spPr>
                </pic:pic>
              </a:graphicData>
            </a:graphic>
          </wp:inline>
        </w:drawing>
      </w:r>
    </w:p>
    <w:p w14:paraId="36A2FD32" w14:textId="04EF6C88" w:rsidR="00287838" w:rsidRDefault="00AE0412" w:rsidP="00812E4F">
      <w:pPr>
        <w:pStyle w:val="Caption"/>
        <w:spacing w:after="240"/>
        <w:jc w:val="center"/>
      </w:pPr>
      <w:bookmarkStart w:id="6" w:name="_Ref525981630"/>
      <w:r>
        <w:t xml:space="preserve">Figure </w:t>
      </w:r>
      <w:r w:rsidR="006A01B7">
        <w:rPr>
          <w:noProof/>
        </w:rPr>
        <w:fldChar w:fldCharType="begin"/>
      </w:r>
      <w:r w:rsidR="006A01B7">
        <w:rPr>
          <w:noProof/>
        </w:rPr>
        <w:instrText xml:space="preserve"> SEQ Figure \* ARABIC </w:instrText>
      </w:r>
      <w:r w:rsidR="006A01B7">
        <w:rPr>
          <w:noProof/>
        </w:rPr>
        <w:fldChar w:fldCharType="separate"/>
      </w:r>
      <w:r w:rsidR="00812E4F">
        <w:rPr>
          <w:noProof/>
        </w:rPr>
        <w:t>2</w:t>
      </w:r>
      <w:r w:rsidR="006A01B7">
        <w:rPr>
          <w:noProof/>
        </w:rPr>
        <w:fldChar w:fldCharType="end"/>
      </w:r>
      <w:bookmarkEnd w:id="6"/>
      <w:r>
        <w:tab/>
      </w:r>
      <w:r w:rsidR="0030004F" w:rsidRPr="00AE0412">
        <w:t>Comparison of power variation cases. Normal distribution vs Uniform distribution. QPSK, TBS 20bytes, spread length L=4. For overloading 100%, 150%, 200%, 250%, 300%.</w:t>
      </w:r>
    </w:p>
    <w:p w14:paraId="63CB73B4" w14:textId="77777777" w:rsidR="00812E4F" w:rsidRDefault="00812E4F" w:rsidP="00812E4F">
      <w:pPr>
        <w:pStyle w:val="BodyText"/>
        <w:spacing w:after="0"/>
        <w:rPr>
          <w:rFonts w:asciiTheme="minorBidi" w:hAnsiTheme="minorBidi"/>
        </w:rPr>
      </w:pPr>
      <w:r w:rsidRPr="00812E4F">
        <w:rPr>
          <w:rFonts w:asciiTheme="minorBidi" w:hAnsiTheme="minorBidi"/>
          <w:b/>
        </w:rPr>
        <w:lastRenderedPageBreak/>
        <w:t>Proposal</w:t>
      </w:r>
      <w:r>
        <w:rPr>
          <w:rFonts w:asciiTheme="minorBidi" w:hAnsiTheme="minorBidi"/>
        </w:rPr>
        <w:t>:</w:t>
      </w:r>
    </w:p>
    <w:p w14:paraId="7406A095" w14:textId="39C20876" w:rsidR="00812E4F" w:rsidRDefault="00812E4F" w:rsidP="00812E4F">
      <w:pPr>
        <w:pStyle w:val="BodyText"/>
        <w:numPr>
          <w:ilvl w:val="0"/>
          <w:numId w:val="28"/>
        </w:numPr>
        <w:rPr>
          <w:rFonts w:asciiTheme="minorBidi" w:hAnsiTheme="minorBidi"/>
        </w:rPr>
      </w:pPr>
      <w:r w:rsidRPr="00812E4F">
        <w:rPr>
          <w:rFonts w:asciiTheme="minorBidi" w:hAnsiTheme="minorBidi"/>
        </w:rPr>
        <w:t>A normal distribution with standard deviation 3dB, or a uniform distribution between ±5dB should be used for power control inaccuracy.</w:t>
      </w:r>
    </w:p>
    <w:p w14:paraId="43AC0077" w14:textId="2195345D" w:rsidR="00FD4CBC" w:rsidRDefault="00FD4CBC" w:rsidP="00B02C0C">
      <w:pPr>
        <w:pStyle w:val="BodyText"/>
        <w:rPr>
          <w:rFonts w:asciiTheme="minorBidi" w:hAnsiTheme="minorBidi"/>
        </w:rPr>
      </w:pPr>
      <w:r>
        <w:rPr>
          <w:rFonts w:asciiTheme="minorBidi" w:hAnsiTheme="minorBidi"/>
        </w:rPr>
        <w:t xml:space="preserve">Since power control error is due to measurement and implementation inaccuracy, it results in an inaccurate transmit power level when power control is applied.  However, when the UE is in power limit, the transmit power is always the maximum, and the error does not come into play.  </w:t>
      </w:r>
      <w:r w:rsidR="00285DF0">
        <w:rPr>
          <w:rFonts w:asciiTheme="minorBidi" w:hAnsiTheme="minorBidi"/>
        </w:rPr>
        <w:t>As discussed in [3], t</w:t>
      </w:r>
      <w:r>
        <w:rPr>
          <w:rFonts w:asciiTheme="minorBidi" w:hAnsiTheme="minorBidi"/>
        </w:rPr>
        <w:t>he near-far effect happens when UEs are at maximum power</w:t>
      </w:r>
      <w:r w:rsidR="00916158">
        <w:rPr>
          <w:rFonts w:asciiTheme="minorBidi" w:hAnsiTheme="minorBidi"/>
        </w:rPr>
        <w:t>,</w:t>
      </w:r>
      <w:r>
        <w:rPr>
          <w:rFonts w:asciiTheme="minorBidi" w:hAnsiTheme="minorBidi"/>
        </w:rPr>
        <w:t xml:space="preserve"> and can’t compensate for coupling loss.  Therefore, power control error </w:t>
      </w:r>
      <w:r w:rsidR="00E4007C">
        <w:rPr>
          <w:rFonts w:asciiTheme="minorBidi" w:hAnsiTheme="minorBidi"/>
        </w:rPr>
        <w:t xml:space="preserve">should be considered as an effect to create different received powers primarily at the target SNR of the power control (set by e.g. P0 and </w:t>
      </w:r>
      <m:oMath>
        <m:r>
          <w:rPr>
            <w:rFonts w:ascii="Cambria Math" w:hAnsi="Cambria Math"/>
          </w:rPr>
          <m:t>α</m:t>
        </m:r>
      </m:oMath>
      <w:r w:rsidR="00E4007C">
        <w:rPr>
          <w:rFonts w:asciiTheme="minorBidi" w:hAnsiTheme="minorBidi"/>
        </w:rPr>
        <w:t>).  Lower SNRs where near-far comes into play are not affected by power control error.</w:t>
      </w:r>
    </w:p>
    <w:p w14:paraId="66901F43" w14:textId="77777777" w:rsidR="00812E4F" w:rsidRDefault="00812E4F" w:rsidP="00812E4F">
      <w:pPr>
        <w:pStyle w:val="BodyText"/>
        <w:spacing w:after="0"/>
        <w:rPr>
          <w:rFonts w:asciiTheme="minorBidi" w:hAnsiTheme="minorBidi"/>
        </w:rPr>
      </w:pPr>
      <w:r w:rsidRPr="00812E4F">
        <w:rPr>
          <w:rFonts w:asciiTheme="minorBidi" w:hAnsiTheme="minorBidi"/>
          <w:b/>
        </w:rPr>
        <w:t>Proposal</w:t>
      </w:r>
      <w:r>
        <w:rPr>
          <w:rFonts w:asciiTheme="minorBidi" w:hAnsiTheme="minorBidi"/>
        </w:rPr>
        <w:t>:</w:t>
      </w:r>
    </w:p>
    <w:p w14:paraId="574FB142" w14:textId="3F6580C0" w:rsidR="00285DF0" w:rsidRPr="00812E4F" w:rsidRDefault="00812E4F" w:rsidP="00812E4F">
      <w:pPr>
        <w:pStyle w:val="ListBullet"/>
      </w:pPr>
      <w:r w:rsidRPr="00812E4F">
        <w:t>Power control inaccuracy should be added to the target power when a UE can reach its target power and the MCS state is chosen such that there is significant BLER</w:t>
      </w:r>
    </w:p>
    <w:p w14:paraId="53BFB862" w14:textId="2E4EBD1D" w:rsidR="00EB1D66" w:rsidRDefault="00EB1D66" w:rsidP="00452B8C">
      <w:pPr>
        <w:spacing w:after="0"/>
        <w:sectPr w:rsidR="00EB1D66" w:rsidSect="006D2B4A">
          <w:headerReference w:type="even" r:id="rId11"/>
          <w:footerReference w:type="default" r:id="rId12"/>
          <w:footnotePr>
            <w:numRestart w:val="eachSect"/>
          </w:footnotePr>
          <w:type w:val="continuous"/>
          <w:pgSz w:w="11907" w:h="16840" w:code="9"/>
          <w:pgMar w:top="1134" w:right="1134" w:bottom="1134" w:left="1134" w:header="680" w:footer="567" w:gutter="0"/>
          <w:cols w:space="720"/>
          <w:docGrid w:linePitch="272"/>
        </w:sectPr>
      </w:pPr>
    </w:p>
    <w:p w14:paraId="6D7387B2" w14:textId="15AE2F0D" w:rsidR="00C01F33" w:rsidRPr="00CE0424" w:rsidRDefault="008770E5" w:rsidP="00CE0424">
      <w:pPr>
        <w:pStyle w:val="Heading1"/>
      </w:pPr>
      <w:r>
        <w:t>3</w:t>
      </w:r>
      <w:r>
        <w:tab/>
      </w:r>
      <w:r w:rsidR="00C01F33" w:rsidRPr="00CE0424">
        <w:t>Conclusion</w:t>
      </w:r>
    </w:p>
    <w:p w14:paraId="39A502EC" w14:textId="44E7CE2E" w:rsidR="0035768B" w:rsidRDefault="0035768B" w:rsidP="00BE4C79">
      <w:pPr>
        <w:pStyle w:val="BodyText"/>
        <w:keepNext/>
      </w:pPr>
      <w:r w:rsidRPr="0035768B">
        <w:t>In this contribution, we discuss</w:t>
      </w:r>
      <w:r w:rsidR="00F55066">
        <w:t>ed</w:t>
      </w:r>
      <w:r w:rsidRPr="0035768B">
        <w:t xml:space="preserve"> how power control inaccuracy can be modeled for NoM</w:t>
      </w:r>
      <w:r w:rsidR="00F55066">
        <w:t>A,</w:t>
      </w:r>
      <w:r w:rsidRPr="0035768B">
        <w:t xml:space="preserve"> </w:t>
      </w:r>
      <w:r w:rsidR="00C40768" w:rsidRPr="0035768B">
        <w:t>focus</w:t>
      </w:r>
      <w:r w:rsidR="00C40768">
        <w:t>ing</w:t>
      </w:r>
      <w:r w:rsidRPr="0035768B">
        <w:t xml:space="preserve"> on the impact of power control error, how it relates to, and combines with, the near-far effect.</w:t>
      </w:r>
      <w:r w:rsidR="0036020F">
        <w:t xml:space="preserve"> Based on the discussion, we propose:</w:t>
      </w:r>
    </w:p>
    <w:p w14:paraId="24C7315B" w14:textId="07465DB4" w:rsidR="0035768B" w:rsidRDefault="0035768B" w:rsidP="0035768B">
      <w:pPr>
        <w:pStyle w:val="BodyText"/>
        <w:spacing w:after="0"/>
        <w:rPr>
          <w:rFonts w:asciiTheme="minorBidi" w:hAnsiTheme="minorBidi"/>
        </w:rPr>
      </w:pPr>
      <w:r w:rsidRPr="00812E4F">
        <w:rPr>
          <w:rFonts w:asciiTheme="minorBidi" w:hAnsiTheme="minorBidi"/>
          <w:b/>
        </w:rPr>
        <w:t>Proposal</w:t>
      </w:r>
      <w:r>
        <w:rPr>
          <w:rFonts w:asciiTheme="minorBidi" w:hAnsiTheme="minorBidi"/>
          <w:b/>
        </w:rPr>
        <w:t>s</w:t>
      </w:r>
      <w:r>
        <w:rPr>
          <w:rFonts w:asciiTheme="minorBidi" w:hAnsiTheme="minorBidi"/>
        </w:rPr>
        <w:t>:</w:t>
      </w:r>
    </w:p>
    <w:p w14:paraId="24B34DE4" w14:textId="77777777" w:rsidR="0035768B" w:rsidRDefault="0035768B" w:rsidP="0035768B">
      <w:pPr>
        <w:pStyle w:val="ListBullet"/>
        <w:spacing w:after="0"/>
        <w:ind w:left="1008"/>
      </w:pPr>
      <w:r w:rsidRPr="00812E4F">
        <w:t>A normal distribution with standard deviation 3dB, or a uniform distribution between ±5dB should be used for power control inaccuracy.</w:t>
      </w:r>
    </w:p>
    <w:p w14:paraId="08BD3B37" w14:textId="77777777" w:rsidR="0035768B" w:rsidRPr="00812E4F" w:rsidRDefault="0035768B" w:rsidP="0035768B">
      <w:pPr>
        <w:pStyle w:val="ListBullet"/>
      </w:pPr>
      <w:r w:rsidRPr="00812E4F">
        <w:t>Power control inaccuracy should be added to the target power when a UE can reach its target power and the MCS state is chosen such that there is significant BLER</w:t>
      </w:r>
    </w:p>
    <w:p w14:paraId="7BED45C8" w14:textId="71400469" w:rsidR="00F507D1" w:rsidRPr="00CE0424" w:rsidRDefault="008770E5" w:rsidP="00CE0424">
      <w:pPr>
        <w:pStyle w:val="Heading1"/>
      </w:pPr>
      <w:bookmarkStart w:id="7" w:name="_In-sequence_SDU_delivery"/>
      <w:bookmarkEnd w:id="7"/>
      <w:r>
        <w:t>4</w:t>
      </w:r>
      <w:r>
        <w:tab/>
      </w:r>
      <w:r w:rsidR="00F507D1" w:rsidRPr="00CE0424">
        <w:t>References</w:t>
      </w:r>
    </w:p>
    <w:p w14:paraId="61887090" w14:textId="25BA09F9" w:rsidR="008770E5" w:rsidRPr="00E16813" w:rsidRDefault="008770E5" w:rsidP="008770E5">
      <w:pPr>
        <w:pStyle w:val="BodyText"/>
        <w:numPr>
          <w:ilvl w:val="0"/>
          <w:numId w:val="24"/>
        </w:numPr>
        <w:ind w:left="426" w:hanging="426"/>
        <w:rPr>
          <w:rFonts w:cs="Arial"/>
        </w:rPr>
      </w:pPr>
      <w:bookmarkStart w:id="8" w:name="_Ref513450307"/>
      <w:r w:rsidRPr="00E16813">
        <w:rPr>
          <w:rFonts w:cs="Arial"/>
        </w:rPr>
        <w:t>3GPP TS 3</w:t>
      </w:r>
      <w:r w:rsidR="006019A4" w:rsidRPr="00E16813">
        <w:rPr>
          <w:rFonts w:cs="Arial"/>
        </w:rPr>
        <w:t>8</w:t>
      </w:r>
      <w:r w:rsidRPr="00E16813">
        <w:rPr>
          <w:rFonts w:cs="Arial"/>
        </w:rPr>
        <w:t>.213</w:t>
      </w:r>
      <w:r w:rsidR="00890DF1">
        <w:rPr>
          <w:rFonts w:cs="Arial"/>
        </w:rPr>
        <w:t xml:space="preserve"> V15.</w:t>
      </w:r>
      <w:r w:rsidR="0085466F">
        <w:rPr>
          <w:rFonts w:cs="Arial"/>
        </w:rPr>
        <w:t>2.0,</w:t>
      </w:r>
      <w:r w:rsidRPr="00E16813">
        <w:rPr>
          <w:rFonts w:cs="Arial"/>
        </w:rPr>
        <w:t xml:space="preserve"> “</w:t>
      </w:r>
      <w:r w:rsidR="006019A4" w:rsidRPr="00E16813">
        <w:rPr>
          <w:rFonts w:cs="Arial"/>
        </w:rPr>
        <w:t>NR</w:t>
      </w:r>
      <w:r w:rsidR="0085466F">
        <w:rPr>
          <w:rFonts w:cs="Arial"/>
        </w:rPr>
        <w:t>;</w:t>
      </w:r>
      <w:r w:rsidRPr="00E16813">
        <w:rPr>
          <w:rFonts w:cs="Arial"/>
        </w:rPr>
        <w:t xml:space="preserve"> Physical layer procedures</w:t>
      </w:r>
      <w:bookmarkEnd w:id="8"/>
      <w:r w:rsidR="006019A4" w:rsidRPr="00E16813">
        <w:rPr>
          <w:rFonts w:cs="Arial"/>
        </w:rPr>
        <w:t xml:space="preserve"> for control</w:t>
      </w:r>
      <w:r w:rsidR="00AC5B74">
        <w:rPr>
          <w:rFonts w:cs="Arial"/>
        </w:rPr>
        <w:t xml:space="preserve"> (Release 15)</w:t>
      </w:r>
      <w:r w:rsidR="006019A4" w:rsidRPr="00E16813">
        <w:rPr>
          <w:rFonts w:cs="Arial"/>
        </w:rPr>
        <w:t>”</w:t>
      </w:r>
      <w:r w:rsidR="00890DF1">
        <w:rPr>
          <w:rFonts w:cs="Arial"/>
        </w:rPr>
        <w:t>,</w:t>
      </w:r>
      <w:r w:rsidR="00EA4228">
        <w:rPr>
          <w:rFonts w:cs="Arial"/>
        </w:rPr>
        <w:t xml:space="preserve"> June 2018.</w:t>
      </w:r>
      <w:r w:rsidR="00890DF1">
        <w:rPr>
          <w:rFonts w:cs="Arial"/>
        </w:rPr>
        <w:t xml:space="preserve"> </w:t>
      </w:r>
    </w:p>
    <w:p w14:paraId="118BEA3A" w14:textId="673D3694" w:rsidR="00046735" w:rsidRDefault="008770E5" w:rsidP="00046735">
      <w:pPr>
        <w:pStyle w:val="BodyText"/>
        <w:numPr>
          <w:ilvl w:val="0"/>
          <w:numId w:val="24"/>
        </w:numPr>
        <w:ind w:left="426" w:hanging="426"/>
        <w:rPr>
          <w:rFonts w:cs="Arial"/>
        </w:rPr>
      </w:pPr>
      <w:bookmarkStart w:id="9" w:name="_Ref246233173"/>
      <w:r w:rsidRPr="00E16813">
        <w:rPr>
          <w:rFonts w:cs="Arial"/>
        </w:rPr>
        <w:t>3GPP TS 36.101</w:t>
      </w:r>
      <w:r w:rsidR="009F00EC">
        <w:rPr>
          <w:rFonts w:cs="Arial"/>
        </w:rPr>
        <w:t xml:space="preserve"> V15.3.0</w:t>
      </w:r>
      <w:r w:rsidR="00C45201">
        <w:rPr>
          <w:rFonts w:cs="Arial"/>
        </w:rPr>
        <w:t>,</w:t>
      </w:r>
      <w:r w:rsidRPr="00E16813">
        <w:rPr>
          <w:rFonts w:cs="Arial"/>
        </w:rPr>
        <w:t xml:space="preserve"> “</w:t>
      </w:r>
      <w:r w:rsidR="006019A4" w:rsidRPr="00E16813">
        <w:rPr>
          <w:rFonts w:cs="Arial"/>
        </w:rPr>
        <w:t>E-UTRA</w:t>
      </w:r>
      <w:r w:rsidRPr="00E16813">
        <w:rPr>
          <w:rFonts w:cs="Arial"/>
        </w:rPr>
        <w:t xml:space="preserve"> User Equipment (UE) radio transmission and reception</w:t>
      </w:r>
      <w:bookmarkEnd w:id="9"/>
      <w:r w:rsidR="00CC2B39">
        <w:rPr>
          <w:rFonts w:cs="Arial"/>
        </w:rPr>
        <w:t xml:space="preserve"> </w:t>
      </w:r>
      <w:r w:rsidR="00F22122">
        <w:rPr>
          <w:rFonts w:cs="Arial"/>
        </w:rPr>
        <w:t>(Release 15)</w:t>
      </w:r>
      <w:r w:rsidR="00F22122" w:rsidRPr="00E16813">
        <w:rPr>
          <w:rFonts w:cs="Arial"/>
        </w:rPr>
        <w:t>”</w:t>
      </w:r>
      <w:r w:rsidR="00F22122">
        <w:rPr>
          <w:rFonts w:cs="Arial"/>
        </w:rPr>
        <w:t>, June 2018.</w:t>
      </w:r>
    </w:p>
    <w:p w14:paraId="39D78004" w14:textId="1E6D7469" w:rsidR="00812E4F" w:rsidRPr="00F55066" w:rsidRDefault="009020AB" w:rsidP="00D318B4">
      <w:pPr>
        <w:pStyle w:val="BodyText"/>
        <w:numPr>
          <w:ilvl w:val="0"/>
          <w:numId w:val="24"/>
        </w:numPr>
        <w:rPr>
          <w:rFonts w:cs="Arial"/>
        </w:rPr>
      </w:pPr>
      <w:bookmarkStart w:id="10" w:name="_Ref525816052"/>
      <w:r w:rsidRPr="00D318B4">
        <w:rPr>
          <w:rFonts w:cs="Arial"/>
        </w:rPr>
        <w:t>R1-</w:t>
      </w:r>
      <w:r w:rsidR="00D318B4" w:rsidRPr="00D318B4">
        <w:rPr>
          <w:rFonts w:cs="Arial"/>
        </w:rPr>
        <w:t>1813257</w:t>
      </w:r>
      <w:r w:rsidR="006D7A16" w:rsidRPr="00046735">
        <w:rPr>
          <w:rFonts w:cs="Arial"/>
        </w:rPr>
        <w:t>, “</w:t>
      </w:r>
      <w:r w:rsidR="00151614" w:rsidRPr="00046735">
        <w:rPr>
          <w:rFonts w:cs="Arial"/>
        </w:rPr>
        <w:t>Evaluation methodology and metrics for NoMA</w:t>
      </w:r>
      <w:r w:rsidR="006D7A16" w:rsidRPr="00046735">
        <w:rPr>
          <w:rFonts w:cs="Arial"/>
        </w:rPr>
        <w:t xml:space="preserve">”, </w:t>
      </w:r>
      <w:r w:rsidR="00046735" w:rsidRPr="00E16813">
        <w:t>Ericsson, RAN1 #9</w:t>
      </w:r>
      <w:r w:rsidR="00847429">
        <w:t>5</w:t>
      </w:r>
      <w:r w:rsidR="00046735" w:rsidRPr="00E16813">
        <w:t xml:space="preserve">, </w:t>
      </w:r>
      <w:r w:rsidR="00847429" w:rsidRPr="00847429">
        <w:rPr>
          <w:rFonts w:eastAsia="MS Mincho"/>
        </w:rPr>
        <w:t>Spokane, USA, November 12th – 16th, 2018</w:t>
      </w:r>
      <w:r w:rsidR="00046735">
        <w:rPr>
          <w:rFonts w:eastAsia="MS Mincho"/>
        </w:rPr>
        <w:t>.</w:t>
      </w:r>
      <w:bookmarkEnd w:id="10"/>
    </w:p>
    <w:sectPr w:rsidR="00812E4F" w:rsidRPr="00F55066" w:rsidSect="006D2B4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E0589" w14:textId="77777777" w:rsidR="00785DE1" w:rsidRDefault="00785DE1">
      <w:r>
        <w:separator/>
      </w:r>
    </w:p>
  </w:endnote>
  <w:endnote w:type="continuationSeparator" w:id="0">
    <w:p w14:paraId="07EE043D" w14:textId="77777777" w:rsidR="00785DE1" w:rsidRDefault="00785DE1">
      <w:r>
        <w:continuationSeparator/>
      </w:r>
    </w:p>
  </w:endnote>
  <w:endnote w:type="continuationNotice" w:id="1">
    <w:p w14:paraId="1C2FFC48" w14:textId="77777777" w:rsidR="00785DE1" w:rsidRDefault="00785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673BE282" w:rsidR="00B256BE" w:rsidRDefault="00B256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667DC" w14:textId="77777777" w:rsidR="00785DE1" w:rsidRDefault="00785DE1">
      <w:r>
        <w:separator/>
      </w:r>
    </w:p>
  </w:footnote>
  <w:footnote w:type="continuationSeparator" w:id="0">
    <w:p w14:paraId="0074EF67" w14:textId="77777777" w:rsidR="00785DE1" w:rsidRDefault="00785DE1">
      <w:r>
        <w:continuationSeparator/>
      </w:r>
    </w:p>
  </w:footnote>
  <w:footnote w:type="continuationNotice" w:id="1">
    <w:p w14:paraId="232BFE90" w14:textId="77777777" w:rsidR="00785DE1" w:rsidRDefault="00785D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B256BE" w:rsidRDefault="00B256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83B8A"/>
    <w:multiLevelType w:val="hybridMultilevel"/>
    <w:tmpl w:val="C6B48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7"/>
  </w:num>
  <w:num w:numId="7">
    <w:abstractNumId w:val="22"/>
  </w:num>
  <w:num w:numId="8">
    <w:abstractNumId w:val="11"/>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6"/>
  </w:num>
  <w:num w:numId="18">
    <w:abstractNumId w:val="7"/>
  </w:num>
  <w:num w:numId="19">
    <w:abstractNumId w:val="5"/>
  </w:num>
  <w:num w:numId="20">
    <w:abstractNumId w:val="26"/>
  </w:num>
  <w:num w:numId="21">
    <w:abstractNumId w:val="12"/>
  </w:num>
  <w:num w:numId="22">
    <w:abstractNumId w:val="25"/>
  </w:num>
  <w:num w:numId="23">
    <w:abstractNumId w:val="14"/>
  </w:num>
  <w:num w:numId="24">
    <w:abstractNumId w:val="18"/>
  </w:num>
  <w:num w:numId="25">
    <w:abstractNumId w:val="13"/>
    <w:lvlOverride w:ilvl="0">
      <w:startOverride w:val="1"/>
    </w:lvlOverride>
  </w:num>
  <w:num w:numId="26">
    <w:abstractNumId w:val="9"/>
  </w:num>
  <w:num w:numId="27">
    <w:abstractNumId w:val="23"/>
  </w:num>
  <w:num w:numId="2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3A17"/>
    <w:rsid w:val="000053F0"/>
    <w:rsid w:val="0000564C"/>
    <w:rsid w:val="00006446"/>
    <w:rsid w:val="00006896"/>
    <w:rsid w:val="00007CDC"/>
    <w:rsid w:val="00011B28"/>
    <w:rsid w:val="00015D15"/>
    <w:rsid w:val="0001784C"/>
    <w:rsid w:val="00023539"/>
    <w:rsid w:val="0002564D"/>
    <w:rsid w:val="00025ECA"/>
    <w:rsid w:val="000325B8"/>
    <w:rsid w:val="00034C15"/>
    <w:rsid w:val="00036BA1"/>
    <w:rsid w:val="000422E2"/>
    <w:rsid w:val="00042F22"/>
    <w:rsid w:val="00044355"/>
    <w:rsid w:val="000444EF"/>
    <w:rsid w:val="00045159"/>
    <w:rsid w:val="000466A1"/>
    <w:rsid w:val="00046735"/>
    <w:rsid w:val="00052A07"/>
    <w:rsid w:val="000534E3"/>
    <w:rsid w:val="0005606A"/>
    <w:rsid w:val="00057117"/>
    <w:rsid w:val="000616E7"/>
    <w:rsid w:val="0006487E"/>
    <w:rsid w:val="0006531C"/>
    <w:rsid w:val="00065E1A"/>
    <w:rsid w:val="00067242"/>
    <w:rsid w:val="000748D1"/>
    <w:rsid w:val="00077E5F"/>
    <w:rsid w:val="0008036A"/>
    <w:rsid w:val="00080530"/>
    <w:rsid w:val="00081AE6"/>
    <w:rsid w:val="000855EB"/>
    <w:rsid w:val="00085B52"/>
    <w:rsid w:val="000866F2"/>
    <w:rsid w:val="00086CB8"/>
    <w:rsid w:val="0009009F"/>
    <w:rsid w:val="00091557"/>
    <w:rsid w:val="000924C1"/>
    <w:rsid w:val="000924F0"/>
    <w:rsid w:val="00093474"/>
    <w:rsid w:val="0009510F"/>
    <w:rsid w:val="000A1B7B"/>
    <w:rsid w:val="000A56F2"/>
    <w:rsid w:val="000B2719"/>
    <w:rsid w:val="000B3A8F"/>
    <w:rsid w:val="000B4AB9"/>
    <w:rsid w:val="000B58C3"/>
    <w:rsid w:val="000B60BD"/>
    <w:rsid w:val="000B61E9"/>
    <w:rsid w:val="000C165A"/>
    <w:rsid w:val="000C2E19"/>
    <w:rsid w:val="000C6FEA"/>
    <w:rsid w:val="000D0D07"/>
    <w:rsid w:val="000D3ACF"/>
    <w:rsid w:val="000D3E49"/>
    <w:rsid w:val="000D4797"/>
    <w:rsid w:val="000D5E37"/>
    <w:rsid w:val="000E0527"/>
    <w:rsid w:val="000E1E92"/>
    <w:rsid w:val="000F06D6"/>
    <w:rsid w:val="000F0EB1"/>
    <w:rsid w:val="000F1106"/>
    <w:rsid w:val="000F3BE9"/>
    <w:rsid w:val="000F3F6C"/>
    <w:rsid w:val="000F4EE5"/>
    <w:rsid w:val="000F6DF3"/>
    <w:rsid w:val="001005FF"/>
    <w:rsid w:val="001062FB"/>
    <w:rsid w:val="001063E6"/>
    <w:rsid w:val="00111FD9"/>
    <w:rsid w:val="00113CF4"/>
    <w:rsid w:val="001153EA"/>
    <w:rsid w:val="00115643"/>
    <w:rsid w:val="00116765"/>
    <w:rsid w:val="00117257"/>
    <w:rsid w:val="00120DE7"/>
    <w:rsid w:val="001219F5"/>
    <w:rsid w:val="00121A20"/>
    <w:rsid w:val="0012342A"/>
    <w:rsid w:val="0012377F"/>
    <w:rsid w:val="00124314"/>
    <w:rsid w:val="00126B4A"/>
    <w:rsid w:val="00127399"/>
    <w:rsid w:val="00132FD0"/>
    <w:rsid w:val="001344C0"/>
    <w:rsid w:val="001346FA"/>
    <w:rsid w:val="00135252"/>
    <w:rsid w:val="00136C1C"/>
    <w:rsid w:val="00137AB5"/>
    <w:rsid w:val="00137F0B"/>
    <w:rsid w:val="00142E36"/>
    <w:rsid w:val="0014738F"/>
    <w:rsid w:val="00151614"/>
    <w:rsid w:val="00151E23"/>
    <w:rsid w:val="001526E0"/>
    <w:rsid w:val="001551B5"/>
    <w:rsid w:val="00160D1A"/>
    <w:rsid w:val="00161189"/>
    <w:rsid w:val="001659C1"/>
    <w:rsid w:val="0016622E"/>
    <w:rsid w:val="00173A8E"/>
    <w:rsid w:val="0017502C"/>
    <w:rsid w:val="0018143F"/>
    <w:rsid w:val="00181FF8"/>
    <w:rsid w:val="00182725"/>
    <w:rsid w:val="00190AC1"/>
    <w:rsid w:val="0019341A"/>
    <w:rsid w:val="00197DF9"/>
    <w:rsid w:val="001A1987"/>
    <w:rsid w:val="001A2564"/>
    <w:rsid w:val="001A263E"/>
    <w:rsid w:val="001A58B9"/>
    <w:rsid w:val="001A6173"/>
    <w:rsid w:val="001A6CBA"/>
    <w:rsid w:val="001A7264"/>
    <w:rsid w:val="001B0D97"/>
    <w:rsid w:val="001B42E6"/>
    <w:rsid w:val="001B5A5D"/>
    <w:rsid w:val="001C1CE5"/>
    <w:rsid w:val="001C3D2A"/>
    <w:rsid w:val="001C4E8A"/>
    <w:rsid w:val="001D13B3"/>
    <w:rsid w:val="001D1853"/>
    <w:rsid w:val="001D240F"/>
    <w:rsid w:val="001D2CE8"/>
    <w:rsid w:val="001D51BA"/>
    <w:rsid w:val="001D53E7"/>
    <w:rsid w:val="001D6342"/>
    <w:rsid w:val="001D6D53"/>
    <w:rsid w:val="001E58E2"/>
    <w:rsid w:val="001E7AED"/>
    <w:rsid w:val="001F3916"/>
    <w:rsid w:val="001F54C5"/>
    <w:rsid w:val="001F662C"/>
    <w:rsid w:val="001F7074"/>
    <w:rsid w:val="00200490"/>
    <w:rsid w:val="00201F3A"/>
    <w:rsid w:val="00202CE6"/>
    <w:rsid w:val="00203F96"/>
    <w:rsid w:val="002069B2"/>
    <w:rsid w:val="00207FA3"/>
    <w:rsid w:val="00214DA8"/>
    <w:rsid w:val="002151E3"/>
    <w:rsid w:val="00215423"/>
    <w:rsid w:val="002158FA"/>
    <w:rsid w:val="00220600"/>
    <w:rsid w:val="00220B95"/>
    <w:rsid w:val="002224DB"/>
    <w:rsid w:val="00223FCB"/>
    <w:rsid w:val="002252C3"/>
    <w:rsid w:val="00225C54"/>
    <w:rsid w:val="00230765"/>
    <w:rsid w:val="00230D18"/>
    <w:rsid w:val="002319E4"/>
    <w:rsid w:val="00235632"/>
    <w:rsid w:val="00235872"/>
    <w:rsid w:val="00237077"/>
    <w:rsid w:val="00241559"/>
    <w:rsid w:val="002435B3"/>
    <w:rsid w:val="00244FEC"/>
    <w:rsid w:val="002458EB"/>
    <w:rsid w:val="002500C8"/>
    <w:rsid w:val="00257543"/>
    <w:rsid w:val="0026085A"/>
    <w:rsid w:val="00261764"/>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5DF0"/>
    <w:rsid w:val="00286ACD"/>
    <w:rsid w:val="00287838"/>
    <w:rsid w:val="002907B5"/>
    <w:rsid w:val="00292EB7"/>
    <w:rsid w:val="00293F99"/>
    <w:rsid w:val="00296227"/>
    <w:rsid w:val="00296F44"/>
    <w:rsid w:val="002976D5"/>
    <w:rsid w:val="0029777D"/>
    <w:rsid w:val="002A055E"/>
    <w:rsid w:val="002A1D4E"/>
    <w:rsid w:val="002A2869"/>
    <w:rsid w:val="002B24D6"/>
    <w:rsid w:val="002B4196"/>
    <w:rsid w:val="002C41E6"/>
    <w:rsid w:val="002D071A"/>
    <w:rsid w:val="002D34B2"/>
    <w:rsid w:val="002D48B0"/>
    <w:rsid w:val="002D5B37"/>
    <w:rsid w:val="002D7637"/>
    <w:rsid w:val="002E10AA"/>
    <w:rsid w:val="002E17F2"/>
    <w:rsid w:val="002E4E71"/>
    <w:rsid w:val="002E5CB4"/>
    <w:rsid w:val="002E6154"/>
    <w:rsid w:val="002E7CAE"/>
    <w:rsid w:val="002F2771"/>
    <w:rsid w:val="002F37A9"/>
    <w:rsid w:val="002F694C"/>
    <w:rsid w:val="002F7213"/>
    <w:rsid w:val="002F74FE"/>
    <w:rsid w:val="0030004F"/>
    <w:rsid w:val="00301CE6"/>
    <w:rsid w:val="0030256B"/>
    <w:rsid w:val="00303816"/>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6EC0"/>
    <w:rsid w:val="00342BD7"/>
    <w:rsid w:val="00344C80"/>
    <w:rsid w:val="00346DB5"/>
    <w:rsid w:val="003477B1"/>
    <w:rsid w:val="00351EDC"/>
    <w:rsid w:val="00352679"/>
    <w:rsid w:val="00357380"/>
    <w:rsid w:val="0035768B"/>
    <w:rsid w:val="0036020F"/>
    <w:rsid w:val="003602D9"/>
    <w:rsid w:val="003604CE"/>
    <w:rsid w:val="00370E47"/>
    <w:rsid w:val="00371DE1"/>
    <w:rsid w:val="003742AC"/>
    <w:rsid w:val="00377CE1"/>
    <w:rsid w:val="00380DD0"/>
    <w:rsid w:val="00381692"/>
    <w:rsid w:val="003856A7"/>
    <w:rsid w:val="00385BF0"/>
    <w:rsid w:val="003939FF"/>
    <w:rsid w:val="003A2223"/>
    <w:rsid w:val="003A2A0F"/>
    <w:rsid w:val="003A418E"/>
    <w:rsid w:val="003A45A1"/>
    <w:rsid w:val="003A5B0A"/>
    <w:rsid w:val="003A6BAC"/>
    <w:rsid w:val="003A70A4"/>
    <w:rsid w:val="003A7EF3"/>
    <w:rsid w:val="003B159C"/>
    <w:rsid w:val="003B369F"/>
    <w:rsid w:val="003B36A3"/>
    <w:rsid w:val="003B64BB"/>
    <w:rsid w:val="003B7FE5"/>
    <w:rsid w:val="003C11C8"/>
    <w:rsid w:val="003C2702"/>
    <w:rsid w:val="003C4B04"/>
    <w:rsid w:val="003C5193"/>
    <w:rsid w:val="003C60E5"/>
    <w:rsid w:val="003C6702"/>
    <w:rsid w:val="003C7806"/>
    <w:rsid w:val="003D109F"/>
    <w:rsid w:val="003D2478"/>
    <w:rsid w:val="003D3C45"/>
    <w:rsid w:val="003D4631"/>
    <w:rsid w:val="003D5B1F"/>
    <w:rsid w:val="003E15FA"/>
    <w:rsid w:val="003E35D0"/>
    <w:rsid w:val="003E55E4"/>
    <w:rsid w:val="003E74E3"/>
    <w:rsid w:val="003F05C7"/>
    <w:rsid w:val="003F2CD4"/>
    <w:rsid w:val="003F3761"/>
    <w:rsid w:val="003F6BBE"/>
    <w:rsid w:val="00400004"/>
    <w:rsid w:val="004000E8"/>
    <w:rsid w:val="00402E2B"/>
    <w:rsid w:val="00403BD0"/>
    <w:rsid w:val="0040512B"/>
    <w:rsid w:val="00405CA5"/>
    <w:rsid w:val="00407CD3"/>
    <w:rsid w:val="00410134"/>
    <w:rsid w:val="00410B72"/>
    <w:rsid w:val="00410F18"/>
    <w:rsid w:val="0041263E"/>
    <w:rsid w:val="00413AAC"/>
    <w:rsid w:val="00413E92"/>
    <w:rsid w:val="004163E0"/>
    <w:rsid w:val="00417B3F"/>
    <w:rsid w:val="00421105"/>
    <w:rsid w:val="00422AA4"/>
    <w:rsid w:val="004242F4"/>
    <w:rsid w:val="00427248"/>
    <w:rsid w:val="00437447"/>
    <w:rsid w:val="0044157F"/>
    <w:rsid w:val="00441A92"/>
    <w:rsid w:val="004431DC"/>
    <w:rsid w:val="004435AD"/>
    <w:rsid w:val="00444F56"/>
    <w:rsid w:val="00446488"/>
    <w:rsid w:val="00450D28"/>
    <w:rsid w:val="004517AA"/>
    <w:rsid w:val="00452B8C"/>
    <w:rsid w:val="00452CAC"/>
    <w:rsid w:val="00457565"/>
    <w:rsid w:val="00457B71"/>
    <w:rsid w:val="0046331B"/>
    <w:rsid w:val="004634CB"/>
    <w:rsid w:val="004669E2"/>
    <w:rsid w:val="00470C31"/>
    <w:rsid w:val="00471DE0"/>
    <w:rsid w:val="004734D0"/>
    <w:rsid w:val="0047556B"/>
    <w:rsid w:val="004775C5"/>
    <w:rsid w:val="00477768"/>
    <w:rsid w:val="004827FB"/>
    <w:rsid w:val="0048637F"/>
    <w:rsid w:val="004866F1"/>
    <w:rsid w:val="00492BC5"/>
    <w:rsid w:val="00493902"/>
    <w:rsid w:val="004964F1"/>
    <w:rsid w:val="004A08B7"/>
    <w:rsid w:val="004A16BC"/>
    <w:rsid w:val="004A2B94"/>
    <w:rsid w:val="004B6F6A"/>
    <w:rsid w:val="004B745C"/>
    <w:rsid w:val="004B7C0C"/>
    <w:rsid w:val="004C0960"/>
    <w:rsid w:val="004C14C5"/>
    <w:rsid w:val="004C3898"/>
    <w:rsid w:val="004C5375"/>
    <w:rsid w:val="004D1512"/>
    <w:rsid w:val="004D36B1"/>
    <w:rsid w:val="004D6B67"/>
    <w:rsid w:val="004D7DDA"/>
    <w:rsid w:val="004D7EBD"/>
    <w:rsid w:val="004E2680"/>
    <w:rsid w:val="004E28F9"/>
    <w:rsid w:val="004E462E"/>
    <w:rsid w:val="004E56DC"/>
    <w:rsid w:val="004E76F4"/>
    <w:rsid w:val="004F0B4E"/>
    <w:rsid w:val="004F0B6C"/>
    <w:rsid w:val="004F0DA9"/>
    <w:rsid w:val="004F0FF3"/>
    <w:rsid w:val="004F14B2"/>
    <w:rsid w:val="004F2078"/>
    <w:rsid w:val="004F4DA3"/>
    <w:rsid w:val="00505EE3"/>
    <w:rsid w:val="00506557"/>
    <w:rsid w:val="0050677A"/>
    <w:rsid w:val="005108D8"/>
    <w:rsid w:val="005116F9"/>
    <w:rsid w:val="0051266F"/>
    <w:rsid w:val="005153A7"/>
    <w:rsid w:val="005209C7"/>
    <w:rsid w:val="00520A80"/>
    <w:rsid w:val="00521334"/>
    <w:rsid w:val="0052178E"/>
    <w:rsid w:val="005219CF"/>
    <w:rsid w:val="00533E8A"/>
    <w:rsid w:val="00534B59"/>
    <w:rsid w:val="00536759"/>
    <w:rsid w:val="00537C62"/>
    <w:rsid w:val="005411F5"/>
    <w:rsid w:val="00546970"/>
    <w:rsid w:val="00550B74"/>
    <w:rsid w:val="005541C9"/>
    <w:rsid w:val="00554E19"/>
    <w:rsid w:val="00554FD0"/>
    <w:rsid w:val="0056121F"/>
    <w:rsid w:val="00566259"/>
    <w:rsid w:val="00572505"/>
    <w:rsid w:val="00577ADB"/>
    <w:rsid w:val="00582809"/>
    <w:rsid w:val="00583A44"/>
    <w:rsid w:val="0058798C"/>
    <w:rsid w:val="005900FA"/>
    <w:rsid w:val="005935A4"/>
    <w:rsid w:val="005948C2"/>
    <w:rsid w:val="00595DCA"/>
    <w:rsid w:val="0059779B"/>
    <w:rsid w:val="005A209A"/>
    <w:rsid w:val="005A2894"/>
    <w:rsid w:val="005A662D"/>
    <w:rsid w:val="005B1409"/>
    <w:rsid w:val="005B35D7"/>
    <w:rsid w:val="005B392A"/>
    <w:rsid w:val="005B3AA3"/>
    <w:rsid w:val="005B3FC9"/>
    <w:rsid w:val="005B6F83"/>
    <w:rsid w:val="005C3967"/>
    <w:rsid w:val="005C74FB"/>
    <w:rsid w:val="005D1602"/>
    <w:rsid w:val="005D3A27"/>
    <w:rsid w:val="005D4AFB"/>
    <w:rsid w:val="005E385F"/>
    <w:rsid w:val="005E45AE"/>
    <w:rsid w:val="005E5B81"/>
    <w:rsid w:val="005F2CB1"/>
    <w:rsid w:val="005F3025"/>
    <w:rsid w:val="005F618C"/>
    <w:rsid w:val="005F70BD"/>
    <w:rsid w:val="006019A4"/>
    <w:rsid w:val="0060283C"/>
    <w:rsid w:val="00604F14"/>
    <w:rsid w:val="00611B83"/>
    <w:rsid w:val="006124B6"/>
    <w:rsid w:val="0061309A"/>
    <w:rsid w:val="00613257"/>
    <w:rsid w:val="006141A3"/>
    <w:rsid w:val="006200DD"/>
    <w:rsid w:val="00620A71"/>
    <w:rsid w:val="00620D80"/>
    <w:rsid w:val="006234A6"/>
    <w:rsid w:val="00623603"/>
    <w:rsid w:val="00630001"/>
    <w:rsid w:val="006311B3"/>
    <w:rsid w:val="0063284C"/>
    <w:rsid w:val="00632991"/>
    <w:rsid w:val="00636398"/>
    <w:rsid w:val="006368D3"/>
    <w:rsid w:val="006377EC"/>
    <w:rsid w:val="00640D1E"/>
    <w:rsid w:val="0064151F"/>
    <w:rsid w:val="00641533"/>
    <w:rsid w:val="0064208D"/>
    <w:rsid w:val="00642288"/>
    <w:rsid w:val="00643475"/>
    <w:rsid w:val="0064396A"/>
    <w:rsid w:val="0064624E"/>
    <w:rsid w:val="00647FC9"/>
    <w:rsid w:val="00650AB9"/>
    <w:rsid w:val="00655733"/>
    <w:rsid w:val="00655ACD"/>
    <w:rsid w:val="00656A92"/>
    <w:rsid w:val="00656D7C"/>
    <w:rsid w:val="00656DDE"/>
    <w:rsid w:val="0066011D"/>
    <w:rsid w:val="006607C0"/>
    <w:rsid w:val="006613A6"/>
    <w:rsid w:val="006627A2"/>
    <w:rsid w:val="006634E6"/>
    <w:rsid w:val="006638C9"/>
    <w:rsid w:val="006655EE"/>
    <w:rsid w:val="00667EE7"/>
    <w:rsid w:val="00670922"/>
    <w:rsid w:val="00670BE1"/>
    <w:rsid w:val="0067218F"/>
    <w:rsid w:val="00672930"/>
    <w:rsid w:val="006741F2"/>
    <w:rsid w:val="00674CC3"/>
    <w:rsid w:val="00675C72"/>
    <w:rsid w:val="006771F9"/>
    <w:rsid w:val="006776D7"/>
    <w:rsid w:val="00681003"/>
    <w:rsid w:val="006817C9"/>
    <w:rsid w:val="00682E7B"/>
    <w:rsid w:val="00683ECE"/>
    <w:rsid w:val="00687020"/>
    <w:rsid w:val="00695FC2"/>
    <w:rsid w:val="00696949"/>
    <w:rsid w:val="00697052"/>
    <w:rsid w:val="006A01B7"/>
    <w:rsid w:val="006A46FB"/>
    <w:rsid w:val="006A5E28"/>
    <w:rsid w:val="006A697B"/>
    <w:rsid w:val="006A7AFF"/>
    <w:rsid w:val="006B1816"/>
    <w:rsid w:val="006B2099"/>
    <w:rsid w:val="006B3032"/>
    <w:rsid w:val="006B417C"/>
    <w:rsid w:val="006B4C3B"/>
    <w:rsid w:val="006B50CF"/>
    <w:rsid w:val="006B693A"/>
    <w:rsid w:val="006C03B8"/>
    <w:rsid w:val="006C5EC9"/>
    <w:rsid w:val="006C6059"/>
    <w:rsid w:val="006C7522"/>
    <w:rsid w:val="006D054E"/>
    <w:rsid w:val="006D0705"/>
    <w:rsid w:val="006D2B4A"/>
    <w:rsid w:val="006D6F08"/>
    <w:rsid w:val="006D7A16"/>
    <w:rsid w:val="006E062C"/>
    <w:rsid w:val="006E1C82"/>
    <w:rsid w:val="006E28B7"/>
    <w:rsid w:val="006E2A9B"/>
    <w:rsid w:val="006E3310"/>
    <w:rsid w:val="006E4E39"/>
    <w:rsid w:val="006E565E"/>
    <w:rsid w:val="006E673D"/>
    <w:rsid w:val="006E7D3B"/>
    <w:rsid w:val="006F1AEC"/>
    <w:rsid w:val="006F1B70"/>
    <w:rsid w:val="006F341D"/>
    <w:rsid w:val="006F3CDE"/>
    <w:rsid w:val="006F58D4"/>
    <w:rsid w:val="006F6582"/>
    <w:rsid w:val="007003C3"/>
    <w:rsid w:val="0070346E"/>
    <w:rsid w:val="0070444B"/>
    <w:rsid w:val="00704EDB"/>
    <w:rsid w:val="00706101"/>
    <w:rsid w:val="00707072"/>
    <w:rsid w:val="00707D61"/>
    <w:rsid w:val="00710ADC"/>
    <w:rsid w:val="00712287"/>
    <w:rsid w:val="00712772"/>
    <w:rsid w:val="007148D3"/>
    <w:rsid w:val="00715B9A"/>
    <w:rsid w:val="00717A3E"/>
    <w:rsid w:val="007257D0"/>
    <w:rsid w:val="00725EA5"/>
    <w:rsid w:val="00726EA6"/>
    <w:rsid w:val="00727208"/>
    <w:rsid w:val="00727680"/>
    <w:rsid w:val="007348B1"/>
    <w:rsid w:val="00735628"/>
    <w:rsid w:val="007362A6"/>
    <w:rsid w:val="00736D7D"/>
    <w:rsid w:val="00740E58"/>
    <w:rsid w:val="007415D9"/>
    <w:rsid w:val="007445A0"/>
    <w:rsid w:val="0074524B"/>
    <w:rsid w:val="00747A1B"/>
    <w:rsid w:val="00747D8B"/>
    <w:rsid w:val="00751228"/>
    <w:rsid w:val="007571E1"/>
    <w:rsid w:val="007604B2"/>
    <w:rsid w:val="00765281"/>
    <w:rsid w:val="00766BAD"/>
    <w:rsid w:val="00767EF5"/>
    <w:rsid w:val="007729A2"/>
    <w:rsid w:val="00774FFC"/>
    <w:rsid w:val="007755F2"/>
    <w:rsid w:val="00776971"/>
    <w:rsid w:val="007770DA"/>
    <w:rsid w:val="00780A80"/>
    <w:rsid w:val="0078177E"/>
    <w:rsid w:val="00782BF1"/>
    <w:rsid w:val="0078304C"/>
    <w:rsid w:val="00783673"/>
    <w:rsid w:val="00784B65"/>
    <w:rsid w:val="00785490"/>
    <w:rsid w:val="00785DE1"/>
    <w:rsid w:val="007925EA"/>
    <w:rsid w:val="0079359F"/>
    <w:rsid w:val="00793CD8"/>
    <w:rsid w:val="0079417B"/>
    <w:rsid w:val="00795C92"/>
    <w:rsid w:val="00796231"/>
    <w:rsid w:val="007A1CB3"/>
    <w:rsid w:val="007A306F"/>
    <w:rsid w:val="007A43A6"/>
    <w:rsid w:val="007A58A6"/>
    <w:rsid w:val="007A7858"/>
    <w:rsid w:val="007B00E0"/>
    <w:rsid w:val="007B3729"/>
    <w:rsid w:val="007B3D2D"/>
    <w:rsid w:val="007B50AE"/>
    <w:rsid w:val="007B51DF"/>
    <w:rsid w:val="007C05DD"/>
    <w:rsid w:val="007C3D18"/>
    <w:rsid w:val="007C47FB"/>
    <w:rsid w:val="007C60BF"/>
    <w:rsid w:val="007C6A07"/>
    <w:rsid w:val="007C75A1"/>
    <w:rsid w:val="007C77A5"/>
    <w:rsid w:val="007D04E5"/>
    <w:rsid w:val="007D0F71"/>
    <w:rsid w:val="007D5901"/>
    <w:rsid w:val="007D7526"/>
    <w:rsid w:val="007E4610"/>
    <w:rsid w:val="007E4715"/>
    <w:rsid w:val="007E505B"/>
    <w:rsid w:val="007E7091"/>
    <w:rsid w:val="007F6E0E"/>
    <w:rsid w:val="00801C70"/>
    <w:rsid w:val="0080381B"/>
    <w:rsid w:val="00803BF3"/>
    <w:rsid w:val="00803C7E"/>
    <w:rsid w:val="00803FAE"/>
    <w:rsid w:val="0080605F"/>
    <w:rsid w:val="00806E5C"/>
    <w:rsid w:val="00807786"/>
    <w:rsid w:val="0081149C"/>
    <w:rsid w:val="00811FCB"/>
    <w:rsid w:val="00812E4F"/>
    <w:rsid w:val="00812E68"/>
    <w:rsid w:val="008158D6"/>
    <w:rsid w:val="00817196"/>
    <w:rsid w:val="008235DB"/>
    <w:rsid w:val="00824AB4"/>
    <w:rsid w:val="00825C42"/>
    <w:rsid w:val="00825D25"/>
    <w:rsid w:val="00827D6F"/>
    <w:rsid w:val="00832F94"/>
    <w:rsid w:val="008355EC"/>
    <w:rsid w:val="008376AC"/>
    <w:rsid w:val="00841329"/>
    <w:rsid w:val="00841CD5"/>
    <w:rsid w:val="008444E8"/>
    <w:rsid w:val="00844E80"/>
    <w:rsid w:val="00846FE7"/>
    <w:rsid w:val="00847429"/>
    <w:rsid w:val="00850D1C"/>
    <w:rsid w:val="0085466F"/>
    <w:rsid w:val="00856911"/>
    <w:rsid w:val="00866651"/>
    <w:rsid w:val="008677FD"/>
    <w:rsid w:val="008706D4"/>
    <w:rsid w:val="00870F8A"/>
    <w:rsid w:val="00871052"/>
    <w:rsid w:val="008719A4"/>
    <w:rsid w:val="00871D23"/>
    <w:rsid w:val="00874312"/>
    <w:rsid w:val="0087437C"/>
    <w:rsid w:val="00875CD7"/>
    <w:rsid w:val="00876B4D"/>
    <w:rsid w:val="008770E5"/>
    <w:rsid w:val="00877F18"/>
    <w:rsid w:val="00890172"/>
    <w:rsid w:val="00890DF1"/>
    <w:rsid w:val="008910EF"/>
    <w:rsid w:val="008941E3"/>
    <w:rsid w:val="0089439D"/>
    <w:rsid w:val="00894A88"/>
    <w:rsid w:val="00895386"/>
    <w:rsid w:val="00896622"/>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6AE8"/>
    <w:rsid w:val="008C7573"/>
    <w:rsid w:val="008D00A5"/>
    <w:rsid w:val="008D34F1"/>
    <w:rsid w:val="008D39D8"/>
    <w:rsid w:val="008D6D1A"/>
    <w:rsid w:val="008E065E"/>
    <w:rsid w:val="008E0927"/>
    <w:rsid w:val="008E1909"/>
    <w:rsid w:val="008E3D64"/>
    <w:rsid w:val="008F1C4E"/>
    <w:rsid w:val="008F1EAB"/>
    <w:rsid w:val="008F33DC"/>
    <w:rsid w:val="008F477F"/>
    <w:rsid w:val="009020AB"/>
    <w:rsid w:val="00902350"/>
    <w:rsid w:val="00902B24"/>
    <w:rsid w:val="0090336B"/>
    <w:rsid w:val="009053AA"/>
    <w:rsid w:val="00906939"/>
    <w:rsid w:val="00910B7D"/>
    <w:rsid w:val="00911DFB"/>
    <w:rsid w:val="009139D9"/>
    <w:rsid w:val="00914AD8"/>
    <w:rsid w:val="00916079"/>
    <w:rsid w:val="00916158"/>
    <w:rsid w:val="00917CE9"/>
    <w:rsid w:val="00920BF2"/>
    <w:rsid w:val="00922010"/>
    <w:rsid w:val="0092340C"/>
    <w:rsid w:val="009256EB"/>
    <w:rsid w:val="00927D72"/>
    <w:rsid w:val="00931BD9"/>
    <w:rsid w:val="009368F3"/>
    <w:rsid w:val="00941636"/>
    <w:rsid w:val="0094368D"/>
    <w:rsid w:val="00943742"/>
    <w:rsid w:val="009457CE"/>
    <w:rsid w:val="00945C05"/>
    <w:rsid w:val="00946945"/>
    <w:rsid w:val="00947713"/>
    <w:rsid w:val="0094790D"/>
    <w:rsid w:val="00950DE7"/>
    <w:rsid w:val="00953920"/>
    <w:rsid w:val="00953D47"/>
    <w:rsid w:val="0095681E"/>
    <w:rsid w:val="009572D4"/>
    <w:rsid w:val="00960FB7"/>
    <w:rsid w:val="00961921"/>
    <w:rsid w:val="0096430A"/>
    <w:rsid w:val="0096554B"/>
    <w:rsid w:val="0096584A"/>
    <w:rsid w:val="00971F08"/>
    <w:rsid w:val="0097603D"/>
    <w:rsid w:val="00976949"/>
    <w:rsid w:val="00980477"/>
    <w:rsid w:val="00985253"/>
    <w:rsid w:val="009853B3"/>
    <w:rsid w:val="00990630"/>
    <w:rsid w:val="00991761"/>
    <w:rsid w:val="00993903"/>
    <w:rsid w:val="00994DCA"/>
    <w:rsid w:val="009960EC"/>
    <w:rsid w:val="009970DD"/>
    <w:rsid w:val="009A0FBA"/>
    <w:rsid w:val="009A1601"/>
    <w:rsid w:val="009A3BB6"/>
    <w:rsid w:val="009A4361"/>
    <w:rsid w:val="009A462D"/>
    <w:rsid w:val="009A4C72"/>
    <w:rsid w:val="009A5CBA"/>
    <w:rsid w:val="009A60B9"/>
    <w:rsid w:val="009B1F30"/>
    <w:rsid w:val="009B3AC2"/>
    <w:rsid w:val="009B4DF4"/>
    <w:rsid w:val="009B564E"/>
    <w:rsid w:val="009B7E87"/>
    <w:rsid w:val="009C0169"/>
    <w:rsid w:val="009C403E"/>
    <w:rsid w:val="009D4FF0"/>
    <w:rsid w:val="009D65F7"/>
    <w:rsid w:val="009D703C"/>
    <w:rsid w:val="009D718F"/>
    <w:rsid w:val="009E068F"/>
    <w:rsid w:val="009E14E0"/>
    <w:rsid w:val="009E35DB"/>
    <w:rsid w:val="009E47A3"/>
    <w:rsid w:val="009E632B"/>
    <w:rsid w:val="009F00EC"/>
    <w:rsid w:val="009F08F3"/>
    <w:rsid w:val="009F344F"/>
    <w:rsid w:val="009F54BE"/>
    <w:rsid w:val="00A031D8"/>
    <w:rsid w:val="00A048A8"/>
    <w:rsid w:val="00A04F49"/>
    <w:rsid w:val="00A13E54"/>
    <w:rsid w:val="00A147C1"/>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399"/>
    <w:rsid w:val="00A761D4"/>
    <w:rsid w:val="00A77C81"/>
    <w:rsid w:val="00A77EC4"/>
    <w:rsid w:val="00A92879"/>
    <w:rsid w:val="00A9442A"/>
    <w:rsid w:val="00AA016F"/>
    <w:rsid w:val="00AA1ED6"/>
    <w:rsid w:val="00AA51D6"/>
    <w:rsid w:val="00AA5624"/>
    <w:rsid w:val="00AA6151"/>
    <w:rsid w:val="00AB0BC8"/>
    <w:rsid w:val="00AB11CA"/>
    <w:rsid w:val="00AB14D9"/>
    <w:rsid w:val="00AB3623"/>
    <w:rsid w:val="00AB4AB8"/>
    <w:rsid w:val="00AB655E"/>
    <w:rsid w:val="00AC007F"/>
    <w:rsid w:val="00AC2124"/>
    <w:rsid w:val="00AC2ECD"/>
    <w:rsid w:val="00AC3119"/>
    <w:rsid w:val="00AC3563"/>
    <w:rsid w:val="00AC49FB"/>
    <w:rsid w:val="00AC5A10"/>
    <w:rsid w:val="00AC5B74"/>
    <w:rsid w:val="00AC61A9"/>
    <w:rsid w:val="00AD0AA3"/>
    <w:rsid w:val="00AD2ED0"/>
    <w:rsid w:val="00AD3F94"/>
    <w:rsid w:val="00AD4A5A"/>
    <w:rsid w:val="00AE0412"/>
    <w:rsid w:val="00AE27AC"/>
    <w:rsid w:val="00AE40E0"/>
    <w:rsid w:val="00AE4DBA"/>
    <w:rsid w:val="00AE4F07"/>
    <w:rsid w:val="00AF07D4"/>
    <w:rsid w:val="00AF0F98"/>
    <w:rsid w:val="00AF10BE"/>
    <w:rsid w:val="00AF1C5D"/>
    <w:rsid w:val="00AF42D7"/>
    <w:rsid w:val="00AF4929"/>
    <w:rsid w:val="00B006FE"/>
    <w:rsid w:val="00B007CB"/>
    <w:rsid w:val="00B02AA9"/>
    <w:rsid w:val="00B02C0C"/>
    <w:rsid w:val="00B02FA3"/>
    <w:rsid w:val="00B05084"/>
    <w:rsid w:val="00B157F9"/>
    <w:rsid w:val="00B20256"/>
    <w:rsid w:val="00B20C9F"/>
    <w:rsid w:val="00B20D09"/>
    <w:rsid w:val="00B22250"/>
    <w:rsid w:val="00B256BE"/>
    <w:rsid w:val="00B2763F"/>
    <w:rsid w:val="00B2764D"/>
    <w:rsid w:val="00B27AAC"/>
    <w:rsid w:val="00B30929"/>
    <w:rsid w:val="00B316EA"/>
    <w:rsid w:val="00B32F22"/>
    <w:rsid w:val="00B372AA"/>
    <w:rsid w:val="00B40445"/>
    <w:rsid w:val="00B409E0"/>
    <w:rsid w:val="00B41888"/>
    <w:rsid w:val="00B45A52"/>
    <w:rsid w:val="00B46175"/>
    <w:rsid w:val="00B548B7"/>
    <w:rsid w:val="00B56D80"/>
    <w:rsid w:val="00B621E6"/>
    <w:rsid w:val="00B664C7"/>
    <w:rsid w:val="00B70070"/>
    <w:rsid w:val="00B734D7"/>
    <w:rsid w:val="00B739F6"/>
    <w:rsid w:val="00B76ACC"/>
    <w:rsid w:val="00B81799"/>
    <w:rsid w:val="00B81A6C"/>
    <w:rsid w:val="00B85A42"/>
    <w:rsid w:val="00B85DE5"/>
    <w:rsid w:val="00B90F73"/>
    <w:rsid w:val="00B93B59"/>
    <w:rsid w:val="00B9406A"/>
    <w:rsid w:val="00BA1089"/>
    <w:rsid w:val="00BA2280"/>
    <w:rsid w:val="00BA2A08"/>
    <w:rsid w:val="00BA4A6E"/>
    <w:rsid w:val="00BA56D2"/>
    <w:rsid w:val="00BA57E6"/>
    <w:rsid w:val="00BA5FA7"/>
    <w:rsid w:val="00BA76E0"/>
    <w:rsid w:val="00BB2A25"/>
    <w:rsid w:val="00BB51E9"/>
    <w:rsid w:val="00BC0FDC"/>
    <w:rsid w:val="00BC3053"/>
    <w:rsid w:val="00BC4D2E"/>
    <w:rsid w:val="00BC5423"/>
    <w:rsid w:val="00BC5E74"/>
    <w:rsid w:val="00BD0BDF"/>
    <w:rsid w:val="00BD48AC"/>
    <w:rsid w:val="00BD520F"/>
    <w:rsid w:val="00BD5F1A"/>
    <w:rsid w:val="00BE0BF8"/>
    <w:rsid w:val="00BE1234"/>
    <w:rsid w:val="00BE2FA6"/>
    <w:rsid w:val="00BE333F"/>
    <w:rsid w:val="00BE4C79"/>
    <w:rsid w:val="00BE7406"/>
    <w:rsid w:val="00BE7603"/>
    <w:rsid w:val="00BF2CE5"/>
    <w:rsid w:val="00BF3279"/>
    <w:rsid w:val="00BF39E2"/>
    <w:rsid w:val="00BF74C7"/>
    <w:rsid w:val="00C015F1"/>
    <w:rsid w:val="00C01D7F"/>
    <w:rsid w:val="00C01F33"/>
    <w:rsid w:val="00C02CC6"/>
    <w:rsid w:val="00C040F7"/>
    <w:rsid w:val="00C044AB"/>
    <w:rsid w:val="00C05706"/>
    <w:rsid w:val="00C07377"/>
    <w:rsid w:val="00C10478"/>
    <w:rsid w:val="00C12107"/>
    <w:rsid w:val="00C13EFE"/>
    <w:rsid w:val="00C14D4B"/>
    <w:rsid w:val="00C154BB"/>
    <w:rsid w:val="00C15869"/>
    <w:rsid w:val="00C15F38"/>
    <w:rsid w:val="00C279B5"/>
    <w:rsid w:val="00C27C45"/>
    <w:rsid w:val="00C3719D"/>
    <w:rsid w:val="00C37CB2"/>
    <w:rsid w:val="00C40768"/>
    <w:rsid w:val="00C435A1"/>
    <w:rsid w:val="00C45201"/>
    <w:rsid w:val="00C473A5"/>
    <w:rsid w:val="00C54995"/>
    <w:rsid w:val="00C54D41"/>
    <w:rsid w:val="00C60783"/>
    <w:rsid w:val="00C61A6B"/>
    <w:rsid w:val="00C64672"/>
    <w:rsid w:val="00C66720"/>
    <w:rsid w:val="00C70697"/>
    <w:rsid w:val="00C70FC4"/>
    <w:rsid w:val="00C716BB"/>
    <w:rsid w:val="00C71FAC"/>
    <w:rsid w:val="00C72093"/>
    <w:rsid w:val="00C7226E"/>
    <w:rsid w:val="00C72EF4"/>
    <w:rsid w:val="00C744FE"/>
    <w:rsid w:val="00C75D2F"/>
    <w:rsid w:val="00C767BE"/>
    <w:rsid w:val="00C76E3C"/>
    <w:rsid w:val="00C81568"/>
    <w:rsid w:val="00C87AE1"/>
    <w:rsid w:val="00C9027A"/>
    <w:rsid w:val="00C9068E"/>
    <w:rsid w:val="00C9076C"/>
    <w:rsid w:val="00C909A6"/>
    <w:rsid w:val="00C93814"/>
    <w:rsid w:val="00C93C4B"/>
    <w:rsid w:val="00C944AB"/>
    <w:rsid w:val="00C95B40"/>
    <w:rsid w:val="00C95EEA"/>
    <w:rsid w:val="00CA1ED8"/>
    <w:rsid w:val="00CB1F63"/>
    <w:rsid w:val="00CB7170"/>
    <w:rsid w:val="00CC040E"/>
    <w:rsid w:val="00CC111F"/>
    <w:rsid w:val="00CC2011"/>
    <w:rsid w:val="00CC2B39"/>
    <w:rsid w:val="00CC3EA0"/>
    <w:rsid w:val="00CC431F"/>
    <w:rsid w:val="00CC7B45"/>
    <w:rsid w:val="00CD0984"/>
    <w:rsid w:val="00CD1188"/>
    <w:rsid w:val="00CD2ED1"/>
    <w:rsid w:val="00CD337B"/>
    <w:rsid w:val="00CD42C3"/>
    <w:rsid w:val="00CE0424"/>
    <w:rsid w:val="00CE5F80"/>
    <w:rsid w:val="00CE7561"/>
    <w:rsid w:val="00CF07CB"/>
    <w:rsid w:val="00CF1354"/>
    <w:rsid w:val="00CF1586"/>
    <w:rsid w:val="00CF3B1F"/>
    <w:rsid w:val="00CF3BF6"/>
    <w:rsid w:val="00CF625B"/>
    <w:rsid w:val="00CF687E"/>
    <w:rsid w:val="00CF6923"/>
    <w:rsid w:val="00D0349B"/>
    <w:rsid w:val="00D10249"/>
    <w:rsid w:val="00D10F09"/>
    <w:rsid w:val="00D115C3"/>
    <w:rsid w:val="00D11897"/>
    <w:rsid w:val="00D126A9"/>
    <w:rsid w:val="00D13135"/>
    <w:rsid w:val="00D13E4E"/>
    <w:rsid w:val="00D239A7"/>
    <w:rsid w:val="00D23F47"/>
    <w:rsid w:val="00D26133"/>
    <w:rsid w:val="00D304A4"/>
    <w:rsid w:val="00D318B4"/>
    <w:rsid w:val="00D36E71"/>
    <w:rsid w:val="00D37D87"/>
    <w:rsid w:val="00D40B33"/>
    <w:rsid w:val="00D4318F"/>
    <w:rsid w:val="00D43547"/>
    <w:rsid w:val="00D438BF"/>
    <w:rsid w:val="00D439DA"/>
    <w:rsid w:val="00D440F8"/>
    <w:rsid w:val="00D546FF"/>
    <w:rsid w:val="00D54C79"/>
    <w:rsid w:val="00D55AD5"/>
    <w:rsid w:val="00D55D65"/>
    <w:rsid w:val="00D56A26"/>
    <w:rsid w:val="00D576CA"/>
    <w:rsid w:val="00D61AF5"/>
    <w:rsid w:val="00D652B5"/>
    <w:rsid w:val="00D66155"/>
    <w:rsid w:val="00D708B0"/>
    <w:rsid w:val="00D77B1D"/>
    <w:rsid w:val="00D8021F"/>
    <w:rsid w:val="00D80383"/>
    <w:rsid w:val="00D821CD"/>
    <w:rsid w:val="00D823C6"/>
    <w:rsid w:val="00D8327F"/>
    <w:rsid w:val="00D86CA3"/>
    <w:rsid w:val="00D871CE"/>
    <w:rsid w:val="00D9196D"/>
    <w:rsid w:val="00D92982"/>
    <w:rsid w:val="00D941B5"/>
    <w:rsid w:val="00D97AF9"/>
    <w:rsid w:val="00DA164B"/>
    <w:rsid w:val="00DA305E"/>
    <w:rsid w:val="00DA4F78"/>
    <w:rsid w:val="00DA5417"/>
    <w:rsid w:val="00DA56E8"/>
    <w:rsid w:val="00DA588A"/>
    <w:rsid w:val="00DB0A9F"/>
    <w:rsid w:val="00DB377D"/>
    <w:rsid w:val="00DB5E6C"/>
    <w:rsid w:val="00DC2D36"/>
    <w:rsid w:val="00DC53EF"/>
    <w:rsid w:val="00DC77D8"/>
    <w:rsid w:val="00DC77DC"/>
    <w:rsid w:val="00DE5608"/>
    <w:rsid w:val="00DE58D0"/>
    <w:rsid w:val="00DE654F"/>
    <w:rsid w:val="00DF0B6E"/>
    <w:rsid w:val="00DF15E0"/>
    <w:rsid w:val="00DF37A0"/>
    <w:rsid w:val="00DF784E"/>
    <w:rsid w:val="00E06884"/>
    <w:rsid w:val="00E110E7"/>
    <w:rsid w:val="00E11B20"/>
    <w:rsid w:val="00E15F98"/>
    <w:rsid w:val="00E16813"/>
    <w:rsid w:val="00E17FA2"/>
    <w:rsid w:val="00E22330"/>
    <w:rsid w:val="00E30B5A"/>
    <w:rsid w:val="00E30FA0"/>
    <w:rsid w:val="00E3123D"/>
    <w:rsid w:val="00E31346"/>
    <w:rsid w:val="00E31461"/>
    <w:rsid w:val="00E31D43"/>
    <w:rsid w:val="00E32069"/>
    <w:rsid w:val="00E32608"/>
    <w:rsid w:val="00E34188"/>
    <w:rsid w:val="00E34B6E"/>
    <w:rsid w:val="00E35559"/>
    <w:rsid w:val="00E3723A"/>
    <w:rsid w:val="00E37860"/>
    <w:rsid w:val="00E4007C"/>
    <w:rsid w:val="00E446F1"/>
    <w:rsid w:val="00E46886"/>
    <w:rsid w:val="00E47AEF"/>
    <w:rsid w:val="00E53B75"/>
    <w:rsid w:val="00E54E3B"/>
    <w:rsid w:val="00E55B46"/>
    <w:rsid w:val="00E57565"/>
    <w:rsid w:val="00E61274"/>
    <w:rsid w:val="00E63838"/>
    <w:rsid w:val="00E64434"/>
    <w:rsid w:val="00E67C51"/>
    <w:rsid w:val="00E72EFC"/>
    <w:rsid w:val="00E758EC"/>
    <w:rsid w:val="00E76EF4"/>
    <w:rsid w:val="00E814E2"/>
    <w:rsid w:val="00E8234C"/>
    <w:rsid w:val="00E83AA9"/>
    <w:rsid w:val="00E85928"/>
    <w:rsid w:val="00E87822"/>
    <w:rsid w:val="00E90395"/>
    <w:rsid w:val="00E904FA"/>
    <w:rsid w:val="00E90E49"/>
    <w:rsid w:val="00E917F9"/>
    <w:rsid w:val="00E9291C"/>
    <w:rsid w:val="00E93FFE"/>
    <w:rsid w:val="00E94F8A"/>
    <w:rsid w:val="00E9501E"/>
    <w:rsid w:val="00EA3B7B"/>
    <w:rsid w:val="00EA4228"/>
    <w:rsid w:val="00EA46DE"/>
    <w:rsid w:val="00EA6B3B"/>
    <w:rsid w:val="00EA7A41"/>
    <w:rsid w:val="00EB077B"/>
    <w:rsid w:val="00EB1D66"/>
    <w:rsid w:val="00EB4EA2"/>
    <w:rsid w:val="00EB6633"/>
    <w:rsid w:val="00EC1379"/>
    <w:rsid w:val="00EC1FAE"/>
    <w:rsid w:val="00EC24D5"/>
    <w:rsid w:val="00EC27C6"/>
    <w:rsid w:val="00EC4207"/>
    <w:rsid w:val="00EC5653"/>
    <w:rsid w:val="00EC71CE"/>
    <w:rsid w:val="00ED1006"/>
    <w:rsid w:val="00ED46FB"/>
    <w:rsid w:val="00EE2149"/>
    <w:rsid w:val="00EE7755"/>
    <w:rsid w:val="00EF18FE"/>
    <w:rsid w:val="00EF5787"/>
    <w:rsid w:val="00EF60D0"/>
    <w:rsid w:val="00EF78B4"/>
    <w:rsid w:val="00F01814"/>
    <w:rsid w:val="00F0528D"/>
    <w:rsid w:val="00F055E0"/>
    <w:rsid w:val="00F05E5F"/>
    <w:rsid w:val="00F06C67"/>
    <w:rsid w:val="00F06DFD"/>
    <w:rsid w:val="00F071D1"/>
    <w:rsid w:val="00F07533"/>
    <w:rsid w:val="00F10097"/>
    <w:rsid w:val="00F10629"/>
    <w:rsid w:val="00F15887"/>
    <w:rsid w:val="00F15FA5"/>
    <w:rsid w:val="00F17AD1"/>
    <w:rsid w:val="00F209B7"/>
    <w:rsid w:val="00F22122"/>
    <w:rsid w:val="00F232B9"/>
    <w:rsid w:val="00F2376F"/>
    <w:rsid w:val="00F243D8"/>
    <w:rsid w:val="00F30828"/>
    <w:rsid w:val="00F313D6"/>
    <w:rsid w:val="00F31E9F"/>
    <w:rsid w:val="00F40F0C"/>
    <w:rsid w:val="00F431E7"/>
    <w:rsid w:val="00F4766C"/>
    <w:rsid w:val="00F5060E"/>
    <w:rsid w:val="00F507D1"/>
    <w:rsid w:val="00F519CE"/>
    <w:rsid w:val="00F51ADA"/>
    <w:rsid w:val="00F55066"/>
    <w:rsid w:val="00F60203"/>
    <w:rsid w:val="00F607C5"/>
    <w:rsid w:val="00F60DEA"/>
    <w:rsid w:val="00F6124E"/>
    <w:rsid w:val="00F6302A"/>
    <w:rsid w:val="00F63950"/>
    <w:rsid w:val="00F64C2B"/>
    <w:rsid w:val="00F651BE"/>
    <w:rsid w:val="00F67F53"/>
    <w:rsid w:val="00F703BE"/>
    <w:rsid w:val="00F71F69"/>
    <w:rsid w:val="00F72B72"/>
    <w:rsid w:val="00F72C0F"/>
    <w:rsid w:val="00F74BB9"/>
    <w:rsid w:val="00F752A4"/>
    <w:rsid w:val="00F75582"/>
    <w:rsid w:val="00F76EFA"/>
    <w:rsid w:val="00F772A2"/>
    <w:rsid w:val="00F804BE"/>
    <w:rsid w:val="00F817CE"/>
    <w:rsid w:val="00F8456C"/>
    <w:rsid w:val="00F8486A"/>
    <w:rsid w:val="00F859D8"/>
    <w:rsid w:val="00F86607"/>
    <w:rsid w:val="00F868F5"/>
    <w:rsid w:val="00F9056A"/>
    <w:rsid w:val="00F90F8D"/>
    <w:rsid w:val="00F92782"/>
    <w:rsid w:val="00F93AA9"/>
    <w:rsid w:val="00F96985"/>
    <w:rsid w:val="00F97838"/>
    <w:rsid w:val="00FA2BB3"/>
    <w:rsid w:val="00FB0F82"/>
    <w:rsid w:val="00FB4C80"/>
    <w:rsid w:val="00FB5447"/>
    <w:rsid w:val="00FB6A6A"/>
    <w:rsid w:val="00FC6FCD"/>
    <w:rsid w:val="00FC7429"/>
    <w:rsid w:val="00FD07F6"/>
    <w:rsid w:val="00FD1EC8"/>
    <w:rsid w:val="00FD47ED"/>
    <w:rsid w:val="00FD4CBC"/>
    <w:rsid w:val="00FD74DB"/>
    <w:rsid w:val="00FD7660"/>
    <w:rsid w:val="00FE0655"/>
    <w:rsid w:val="00FE2365"/>
    <w:rsid w:val="00FE37D7"/>
    <w:rsid w:val="00FE4C7B"/>
    <w:rsid w:val="00FE7336"/>
    <w:rsid w:val="00FE787C"/>
    <w:rsid w:val="00FF42E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05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710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05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character" w:styleId="PlaceholderText">
    <w:name w:val="Placeholder Text"/>
    <w:basedOn w:val="DefaultParagraphFont"/>
    <w:uiPriority w:val="99"/>
    <w:semiHidden/>
    <w:rsid w:val="00B20C9F"/>
    <w:rPr>
      <w:color w:val="808080"/>
    </w:rPr>
  </w:style>
  <w:style w:type="character" w:styleId="UnresolvedMention">
    <w:name w:val="Unresolved Mention"/>
    <w:basedOn w:val="DefaultParagraphFont"/>
    <w:uiPriority w:val="99"/>
    <w:semiHidden/>
    <w:unhideWhenUsed/>
    <w:rsid w:val="009020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13961">
      <w:bodyDiv w:val="1"/>
      <w:marLeft w:val="0"/>
      <w:marRight w:val="0"/>
      <w:marTop w:val="0"/>
      <w:marBottom w:val="0"/>
      <w:divBdr>
        <w:top w:val="none" w:sz="0" w:space="0" w:color="auto"/>
        <w:left w:val="none" w:sz="0" w:space="0" w:color="auto"/>
        <w:bottom w:val="none" w:sz="0" w:space="0" w:color="auto"/>
        <w:right w:val="none" w:sz="0" w:space="0" w:color="auto"/>
      </w:divBdr>
    </w:div>
    <w:div w:id="9468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F2A62-B8CA-4B9F-ACA5-CE671838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2018-11-02T23:48:00Z</dcterms:created>
  <dcterms:modified xsi:type="dcterms:W3CDTF">2018-11-02T23:48:00Z</dcterms:modified>
  <cp:category/>
</cp:coreProperties>
</file>